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B7C2" w14:textId="77777777" w:rsidR="00313191" w:rsidRDefault="00313191" w:rsidP="009E018D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</w:p>
    <w:p w14:paraId="47777DB8" w14:textId="77777777" w:rsidR="009179D4" w:rsidRPr="00B91AA1" w:rsidRDefault="009179D4" w:rsidP="009E018D">
      <w:pPr>
        <w:autoSpaceDE w:val="0"/>
        <w:autoSpaceDN w:val="0"/>
        <w:adjustRightInd w:val="0"/>
        <w:spacing w:line="360" w:lineRule="auto"/>
        <w:jc w:val="center"/>
        <w:rPr>
          <w:b/>
          <w:lang w:val="uk-UA"/>
        </w:rPr>
      </w:pPr>
      <w:r w:rsidRPr="00B91AA1">
        <w:rPr>
          <w:b/>
          <w:lang w:val="uk-UA"/>
        </w:rPr>
        <w:t>ПОЯСНЮВАЛЬНА ЗАПИСКА</w:t>
      </w:r>
    </w:p>
    <w:p w14:paraId="4E1ED96E" w14:textId="77E24224" w:rsidR="009179D4" w:rsidRPr="00B91AA1" w:rsidRDefault="009179D4" w:rsidP="00313191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lang w:val="uk-UA"/>
        </w:rPr>
      </w:pPr>
      <w:r w:rsidRPr="00B91AA1">
        <w:rPr>
          <w:b/>
          <w:lang w:val="uk-UA"/>
        </w:rPr>
        <w:t xml:space="preserve">до </w:t>
      </w:r>
      <w:proofErr w:type="spellStart"/>
      <w:r w:rsidR="002363A4">
        <w:rPr>
          <w:b/>
          <w:lang w:val="uk-UA"/>
        </w:rPr>
        <w:t>проєкт</w:t>
      </w:r>
      <w:r w:rsidRPr="00B91AA1">
        <w:rPr>
          <w:b/>
          <w:lang w:val="uk-UA"/>
        </w:rPr>
        <w:t>у</w:t>
      </w:r>
      <w:proofErr w:type="spellEnd"/>
      <w:r w:rsidRPr="00B91AA1">
        <w:rPr>
          <w:b/>
          <w:lang w:val="uk-UA"/>
        </w:rPr>
        <w:t xml:space="preserve"> постанови Кабінету Міністрів України</w:t>
      </w:r>
    </w:p>
    <w:p w14:paraId="108825C8" w14:textId="77777777" w:rsidR="00913B29" w:rsidRPr="00B91AA1" w:rsidRDefault="00763372" w:rsidP="00313191">
      <w:pPr>
        <w:spacing w:line="360" w:lineRule="auto"/>
        <w:ind w:right="-1"/>
        <w:jc w:val="center"/>
        <w:rPr>
          <w:b/>
          <w:lang w:val="uk-UA"/>
        </w:rPr>
      </w:pPr>
      <w:r w:rsidRPr="00B91AA1">
        <w:rPr>
          <w:b/>
          <w:lang w:val="uk-UA"/>
        </w:rPr>
        <w:t>«</w:t>
      </w:r>
      <w:r w:rsidR="009D42C6" w:rsidRPr="00B91AA1">
        <w:rPr>
          <w:b/>
          <w:bCs/>
          <w:lang w:val="uk-UA"/>
        </w:rPr>
        <w:t xml:space="preserve">Про затвердження критеріїв, </w:t>
      </w:r>
      <w:r w:rsidR="004E53ED" w:rsidRPr="00B91AA1">
        <w:rPr>
          <w:b/>
          <w:bCs/>
          <w:lang w:val="uk-UA"/>
        </w:rPr>
        <w:t xml:space="preserve">за якими оцінюється ступінь ризику від провадження господарської діяльності </w:t>
      </w:r>
      <w:r w:rsidR="00340AB0" w:rsidRPr="00B91AA1">
        <w:rPr>
          <w:b/>
          <w:bCs/>
          <w:lang w:val="uk-UA"/>
        </w:rPr>
        <w:t xml:space="preserve">у сферах </w:t>
      </w:r>
      <w:r w:rsidR="004E53ED" w:rsidRPr="00B91AA1">
        <w:rPr>
          <w:b/>
          <w:bCs/>
          <w:lang w:val="uk-UA"/>
        </w:rPr>
        <w:t>електроенергетики та теплопостачання і визначається періодичність здійснення</w:t>
      </w:r>
      <w:r w:rsidR="005429FF">
        <w:rPr>
          <w:b/>
          <w:bCs/>
          <w:lang w:val="uk-UA"/>
        </w:rPr>
        <w:t xml:space="preserve"> планових</w:t>
      </w:r>
      <w:r w:rsidR="004E53ED" w:rsidRPr="00B91AA1">
        <w:rPr>
          <w:b/>
          <w:bCs/>
          <w:lang w:val="uk-UA"/>
        </w:rPr>
        <w:t xml:space="preserve"> заходів державного нагляду (контролю) Державною інспекцією енергетичного нагляду </w:t>
      </w:r>
      <w:r w:rsidR="009D42C6" w:rsidRPr="00B91AA1">
        <w:rPr>
          <w:b/>
          <w:lang w:val="uk-UA"/>
        </w:rPr>
        <w:t>та визнання так</w:t>
      </w:r>
      <w:r w:rsidR="00041608" w:rsidRPr="00B91AA1">
        <w:rPr>
          <w:b/>
          <w:lang w:val="uk-UA"/>
        </w:rPr>
        <w:t>ими</w:t>
      </w:r>
      <w:r w:rsidR="009D42C6" w:rsidRPr="00B91AA1">
        <w:rPr>
          <w:b/>
          <w:lang w:val="uk-UA"/>
        </w:rPr>
        <w:t>, що втратил</w:t>
      </w:r>
      <w:r w:rsidR="00041608" w:rsidRPr="00B91AA1">
        <w:rPr>
          <w:b/>
          <w:lang w:val="uk-UA"/>
        </w:rPr>
        <w:t>и</w:t>
      </w:r>
      <w:r w:rsidR="009D42C6" w:rsidRPr="00B91AA1">
        <w:rPr>
          <w:b/>
          <w:lang w:val="uk-UA"/>
        </w:rPr>
        <w:t xml:space="preserve"> чинність, </w:t>
      </w:r>
      <w:r w:rsidR="00041608" w:rsidRPr="00B91AA1">
        <w:rPr>
          <w:b/>
          <w:lang w:val="uk-UA"/>
        </w:rPr>
        <w:t xml:space="preserve">деяких </w:t>
      </w:r>
      <w:r w:rsidR="009D42C6" w:rsidRPr="00B91AA1">
        <w:rPr>
          <w:b/>
          <w:lang w:val="uk-UA"/>
        </w:rPr>
        <w:t>постанов Кабінету Міністрів України</w:t>
      </w:r>
      <w:r w:rsidRPr="00B91AA1">
        <w:rPr>
          <w:b/>
          <w:lang w:val="uk-UA"/>
        </w:rPr>
        <w:t>»</w:t>
      </w:r>
    </w:p>
    <w:p w14:paraId="521E34CF" w14:textId="77777777" w:rsidR="001F6B7A" w:rsidRPr="00B91AA1" w:rsidRDefault="001F6B7A" w:rsidP="009E018D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p w14:paraId="6BDCCA27" w14:textId="77777777" w:rsidR="00446835" w:rsidRPr="00B91AA1" w:rsidRDefault="00547A7A" w:rsidP="009E018D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uk-UA"/>
        </w:rPr>
      </w:pPr>
      <w:r w:rsidRPr="00B91AA1">
        <w:rPr>
          <w:b/>
          <w:lang w:val="uk-UA"/>
        </w:rPr>
        <w:t xml:space="preserve">Мета: </w:t>
      </w:r>
      <w:r w:rsidR="00446835" w:rsidRPr="00B91AA1">
        <w:rPr>
          <w:lang w:val="uk-UA"/>
        </w:rPr>
        <w:t>ефективн</w:t>
      </w:r>
      <w:r w:rsidR="004B619C" w:rsidRPr="00B91AA1">
        <w:rPr>
          <w:lang w:val="uk-UA"/>
        </w:rPr>
        <w:t>е</w:t>
      </w:r>
      <w:r w:rsidR="00446835" w:rsidRPr="00B91AA1">
        <w:rPr>
          <w:lang w:val="uk-UA"/>
        </w:rPr>
        <w:t xml:space="preserve"> здійснення державного нагляду (контролю) за дотриманням суб’єктами господарської діяльності вимог законодавства </w:t>
      </w:r>
      <w:r w:rsidR="00446835" w:rsidRPr="00B91AA1">
        <w:rPr>
          <w:bCs/>
          <w:lang w:val="uk-UA"/>
        </w:rPr>
        <w:t>у сферах електроенергетики та теплопостачання</w:t>
      </w:r>
      <w:r w:rsidR="00446835" w:rsidRPr="00B91AA1">
        <w:rPr>
          <w:lang w:val="uk-UA"/>
        </w:rPr>
        <w:t xml:space="preserve"> шляхом визначення ступеня ризику </w:t>
      </w:r>
      <w:r w:rsidR="00CF5BCB" w:rsidRPr="00B91AA1">
        <w:rPr>
          <w:lang w:val="uk-UA"/>
        </w:rPr>
        <w:t>від</w:t>
      </w:r>
      <w:r w:rsidR="00446835" w:rsidRPr="00B91AA1">
        <w:rPr>
          <w:lang w:val="uk-UA"/>
        </w:rPr>
        <w:t xml:space="preserve"> провадження господарської діяльності та періодичності здійснення заходів державного нагляду (контролю).</w:t>
      </w:r>
    </w:p>
    <w:p w14:paraId="10443C06" w14:textId="77777777" w:rsidR="00C032AE" w:rsidRPr="00B91AA1" w:rsidRDefault="00C032AE" w:rsidP="009E018D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p w14:paraId="24BF5D6A" w14:textId="652A2014" w:rsidR="003B7959" w:rsidRPr="00B91AA1" w:rsidRDefault="00446835" w:rsidP="009E018D">
      <w:pPr>
        <w:numPr>
          <w:ilvl w:val="0"/>
          <w:numId w:val="3"/>
        </w:numPr>
        <w:spacing w:line="360" w:lineRule="auto"/>
        <w:jc w:val="both"/>
        <w:rPr>
          <w:b/>
          <w:lang w:val="uk-UA"/>
        </w:rPr>
      </w:pPr>
      <w:bookmarkStart w:id="0" w:name="_Hlk521325300"/>
      <w:r w:rsidRPr="00B91AA1">
        <w:rPr>
          <w:b/>
          <w:bCs/>
          <w:lang w:val="uk-UA"/>
        </w:rPr>
        <w:t xml:space="preserve">Підстава розроблення </w:t>
      </w:r>
      <w:proofErr w:type="spellStart"/>
      <w:r w:rsidR="002363A4">
        <w:rPr>
          <w:b/>
          <w:bCs/>
          <w:lang w:val="uk-UA"/>
        </w:rPr>
        <w:t>проєкт</w:t>
      </w:r>
      <w:r w:rsidRPr="00B91AA1">
        <w:rPr>
          <w:b/>
          <w:bCs/>
          <w:lang w:val="uk-UA"/>
        </w:rPr>
        <w:t>у</w:t>
      </w:r>
      <w:proofErr w:type="spellEnd"/>
      <w:r w:rsidRPr="00B91AA1">
        <w:rPr>
          <w:b/>
          <w:bCs/>
          <w:lang w:val="uk-UA"/>
        </w:rPr>
        <w:t xml:space="preserve"> </w:t>
      </w:r>
      <w:proofErr w:type="spellStart"/>
      <w:r w:rsidRPr="00B91AA1">
        <w:rPr>
          <w:b/>
          <w:bCs/>
          <w:lang w:val="uk-UA"/>
        </w:rPr>
        <w:t>акта</w:t>
      </w:r>
      <w:proofErr w:type="spellEnd"/>
      <w:r w:rsidRPr="00B91AA1">
        <w:rPr>
          <w:b/>
          <w:lang w:val="uk-UA"/>
        </w:rPr>
        <w:t xml:space="preserve"> </w:t>
      </w:r>
    </w:p>
    <w:p w14:paraId="5C6F7DED" w14:textId="1835C22E" w:rsidR="00A50727" w:rsidRDefault="002363A4" w:rsidP="009E018D">
      <w:pPr>
        <w:spacing w:line="360" w:lineRule="auto"/>
        <w:ind w:firstLine="851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446835" w:rsidRPr="00B91AA1">
        <w:rPr>
          <w:lang w:val="uk-UA"/>
        </w:rPr>
        <w:t xml:space="preserve"> </w:t>
      </w:r>
      <w:r w:rsidR="00472A8D" w:rsidRPr="00B91AA1">
        <w:rPr>
          <w:lang w:val="uk-UA"/>
        </w:rPr>
        <w:t>постанови Кабінету Міністрів України «</w:t>
      </w:r>
      <w:r w:rsidR="00472A8D" w:rsidRPr="00B91AA1">
        <w:rPr>
          <w:bCs/>
          <w:lang w:val="uk-UA"/>
        </w:rPr>
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заходів державного нагляду (контролю) Державною інспекцією енергетичного нагляду </w:t>
      </w:r>
      <w:r w:rsidR="00472A8D" w:rsidRPr="00B91AA1">
        <w:rPr>
          <w:lang w:val="uk-UA"/>
        </w:rPr>
        <w:t xml:space="preserve">та визнання такими, що втратили чинність, деяких постанов Кабінету Міністрів України» (далі – </w:t>
      </w:r>
      <w:proofErr w:type="spellStart"/>
      <w:r>
        <w:rPr>
          <w:lang w:val="uk-UA"/>
        </w:rPr>
        <w:t>проєкт</w:t>
      </w:r>
      <w:proofErr w:type="spellEnd"/>
      <w:r w:rsidR="00472A8D" w:rsidRPr="00B91AA1">
        <w:rPr>
          <w:lang w:val="uk-UA"/>
        </w:rPr>
        <w:t xml:space="preserve"> постанови)</w:t>
      </w:r>
      <w:r w:rsidR="00446835" w:rsidRPr="00B91AA1">
        <w:rPr>
          <w:lang w:val="uk-UA"/>
        </w:rPr>
        <w:t xml:space="preserve"> розроблено відповідно до вимог статті 5 Закону України «Про основні засади державного нагляду (контролю) у сфері господарської діяльності» та </w:t>
      </w:r>
      <w:r w:rsidR="00DB36B7" w:rsidRPr="00B91AA1">
        <w:rPr>
          <w:lang w:val="uk-UA"/>
        </w:rPr>
        <w:t>з урахуванням</w:t>
      </w:r>
      <w:r w:rsidR="00446835" w:rsidRPr="00B91AA1">
        <w:rPr>
          <w:lang w:val="uk-UA"/>
        </w:rPr>
        <w:t xml:space="preserve"> вимог </w:t>
      </w:r>
      <w:r w:rsidR="00DB36B7" w:rsidRPr="00B91AA1">
        <w:rPr>
          <w:lang w:val="uk-UA"/>
        </w:rPr>
        <w:t>М</w:t>
      </w:r>
      <w:r w:rsidR="00446835" w:rsidRPr="00B91AA1">
        <w:rPr>
          <w:lang w:val="uk-UA"/>
        </w:rPr>
        <w:t>етодик</w:t>
      </w:r>
      <w:r w:rsidR="00DB36B7" w:rsidRPr="00B91AA1">
        <w:rPr>
          <w:lang w:val="uk-UA"/>
        </w:rPr>
        <w:t>и</w:t>
      </w:r>
      <w:r w:rsidR="00446835" w:rsidRPr="00B91AA1">
        <w:rPr>
          <w:lang w:val="uk-UA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</w:t>
      </w:r>
      <w:r w:rsidR="00DB36B7" w:rsidRPr="00B91AA1">
        <w:rPr>
          <w:lang w:val="uk-UA"/>
        </w:rPr>
        <w:t xml:space="preserve"> затвердженої постановою Кабінету Міністрів України від 10.05.2018 № 342</w:t>
      </w:r>
      <w:r w:rsidR="00A60B83" w:rsidRPr="00B91AA1">
        <w:rPr>
          <w:lang w:val="uk-UA"/>
        </w:rPr>
        <w:t xml:space="preserve"> «Про затвердження </w:t>
      </w:r>
      <w:proofErr w:type="spellStart"/>
      <w:r w:rsidR="00A60B83" w:rsidRPr="00B91AA1">
        <w:rPr>
          <w:lang w:val="uk-UA"/>
        </w:rPr>
        <w:t>методик</w:t>
      </w:r>
      <w:proofErr w:type="spellEnd"/>
      <w:r w:rsidR="00A60B83" w:rsidRPr="00B91AA1">
        <w:rPr>
          <w:lang w:val="uk-UA"/>
        </w:rPr>
        <w:t xml:space="preserve"> розроблення критеріїв, за якими оцінюється </w:t>
      </w:r>
      <w:r w:rsidR="00A60B83" w:rsidRPr="00B91AA1">
        <w:rPr>
          <w:lang w:val="uk-UA"/>
        </w:rPr>
        <w:lastRenderedPageBreak/>
        <w:t>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(контролю)»</w:t>
      </w:r>
      <w:r w:rsidR="00DB36B7" w:rsidRPr="00B91AA1">
        <w:rPr>
          <w:lang w:val="uk-UA"/>
        </w:rPr>
        <w:t xml:space="preserve"> (далі – Методика)</w:t>
      </w:r>
      <w:r w:rsidR="00B05391">
        <w:rPr>
          <w:lang w:val="uk-UA"/>
        </w:rPr>
        <w:t xml:space="preserve">. </w:t>
      </w:r>
    </w:p>
    <w:p w14:paraId="3C3EE5CF" w14:textId="6C358C16" w:rsidR="00A05FF6" w:rsidRDefault="002363A4" w:rsidP="009E018D">
      <w:pPr>
        <w:spacing w:line="360" w:lineRule="auto"/>
        <w:ind w:firstLine="851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A05FF6">
        <w:rPr>
          <w:lang w:val="uk-UA"/>
        </w:rPr>
        <w:t xml:space="preserve"> постанови розроблявся Міністерством енергетики та вугільної промисловості України </w:t>
      </w:r>
      <w:r w:rsidR="00A05FF6" w:rsidRPr="00B91AA1">
        <w:rPr>
          <w:lang w:val="uk-UA"/>
        </w:rPr>
        <w:t xml:space="preserve"> на виконання доручення Прем’єр-міністра України від 19.07.2018 № 29681/1/1-18 </w:t>
      </w:r>
      <w:r w:rsidR="00A05FF6" w:rsidRPr="00A50727">
        <w:rPr>
          <w:lang w:val="uk-UA"/>
        </w:rPr>
        <w:t xml:space="preserve">про стан підготовки органами державного нагляду (контролю) </w:t>
      </w:r>
      <w:proofErr w:type="spellStart"/>
      <w:r>
        <w:rPr>
          <w:lang w:val="uk-UA"/>
        </w:rPr>
        <w:t>проєкт</w:t>
      </w:r>
      <w:r w:rsidR="00A05FF6" w:rsidRPr="00A50727">
        <w:rPr>
          <w:lang w:val="uk-UA"/>
        </w:rPr>
        <w:t>ів</w:t>
      </w:r>
      <w:proofErr w:type="spellEnd"/>
      <w:r w:rsidR="00A05FF6" w:rsidRPr="00A50727">
        <w:rPr>
          <w:lang w:val="uk-UA"/>
        </w:rPr>
        <w:t xml:space="preserve"> актів Уряду щодо затвердження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</w:r>
      <w:r w:rsidR="00A05FF6">
        <w:rPr>
          <w:lang w:val="uk-UA"/>
        </w:rPr>
        <w:t>.</w:t>
      </w:r>
    </w:p>
    <w:p w14:paraId="54030194" w14:textId="48C6B080" w:rsidR="00A05FF6" w:rsidRDefault="00B05391" w:rsidP="009E018D">
      <w:pPr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 w:rsidR="00A05FF6">
        <w:rPr>
          <w:lang w:val="uk-UA"/>
        </w:rPr>
        <w:t xml:space="preserve">параграфу </w:t>
      </w:r>
      <w:r>
        <w:rPr>
          <w:lang w:val="uk-UA"/>
        </w:rPr>
        <w:t>40</w:t>
      </w:r>
      <w:r w:rsidR="00A50727">
        <w:rPr>
          <w:lang w:val="uk-UA"/>
        </w:rPr>
        <w:t xml:space="preserve"> Регламенту Кабінету Міністрів України</w:t>
      </w:r>
      <w:r w:rsidR="000362A6">
        <w:rPr>
          <w:lang w:val="uk-UA"/>
        </w:rPr>
        <w:t xml:space="preserve"> </w:t>
      </w:r>
      <w:proofErr w:type="spellStart"/>
      <w:r w:rsidR="002363A4">
        <w:rPr>
          <w:lang w:val="uk-UA"/>
        </w:rPr>
        <w:t>проєкт</w:t>
      </w:r>
      <w:proofErr w:type="spellEnd"/>
      <w:r w:rsidR="00A05FF6">
        <w:rPr>
          <w:lang w:val="uk-UA"/>
        </w:rPr>
        <w:t xml:space="preserve"> доопрацьовано з врахуванням зауважень заінтересованих органів та </w:t>
      </w:r>
      <w:r>
        <w:rPr>
          <w:lang w:val="uk-UA"/>
        </w:rPr>
        <w:t xml:space="preserve">повторно вноситься Державною інспекцією енергетичного нагляду </w:t>
      </w:r>
      <w:r w:rsidR="00026966">
        <w:rPr>
          <w:lang w:val="uk-UA"/>
        </w:rPr>
        <w:t xml:space="preserve">за погодженням з Міністром </w:t>
      </w:r>
      <w:r w:rsidR="00A50727" w:rsidRPr="00A50727">
        <w:rPr>
          <w:lang w:val="uk-UA"/>
        </w:rPr>
        <w:t>енергетики та захисту довкілля</w:t>
      </w:r>
      <w:r w:rsidR="00A50727">
        <w:rPr>
          <w:lang w:val="uk-UA"/>
        </w:rPr>
        <w:t xml:space="preserve"> України.</w:t>
      </w:r>
      <w:r w:rsidR="00F95F2C" w:rsidRPr="00F95F2C">
        <w:rPr>
          <w:lang w:val="uk-UA"/>
        </w:rPr>
        <w:t xml:space="preserve"> </w:t>
      </w:r>
    </w:p>
    <w:p w14:paraId="12605A45" w14:textId="77777777" w:rsidR="00446835" w:rsidRPr="00732F6C" w:rsidRDefault="00446835" w:rsidP="009E018D">
      <w:pPr>
        <w:spacing w:line="360" w:lineRule="auto"/>
        <w:ind w:left="1143"/>
        <w:jc w:val="both"/>
        <w:rPr>
          <w:b/>
          <w:sz w:val="18"/>
          <w:szCs w:val="18"/>
          <w:lang w:val="uk-UA"/>
        </w:rPr>
      </w:pPr>
    </w:p>
    <w:bookmarkEnd w:id="0"/>
    <w:p w14:paraId="1573B1D5" w14:textId="77777777" w:rsidR="00446835" w:rsidRPr="00B91AA1" w:rsidRDefault="00446835" w:rsidP="009E018D">
      <w:pPr>
        <w:numPr>
          <w:ilvl w:val="0"/>
          <w:numId w:val="3"/>
        </w:numPr>
        <w:spacing w:line="360" w:lineRule="auto"/>
        <w:rPr>
          <w:b/>
          <w:lang w:val="uk-UA"/>
        </w:rPr>
      </w:pPr>
      <w:r w:rsidRPr="00B91AA1">
        <w:rPr>
          <w:b/>
          <w:lang w:val="uk-UA"/>
        </w:rPr>
        <w:t>Обґрунтування необхідності прийняття акта</w:t>
      </w:r>
    </w:p>
    <w:p w14:paraId="1279E4AA" w14:textId="77777777" w:rsidR="00F95F2C" w:rsidRPr="00F95F2C" w:rsidRDefault="00751118" w:rsidP="00F95F2C">
      <w:pPr>
        <w:spacing w:line="360" w:lineRule="auto"/>
        <w:ind w:firstLine="708"/>
        <w:jc w:val="both"/>
        <w:rPr>
          <w:lang w:val="uk-UA"/>
        </w:rPr>
      </w:pPr>
      <w:r w:rsidRPr="00751118">
        <w:rPr>
          <w:lang w:val="uk-UA"/>
        </w:rPr>
        <w:t xml:space="preserve">Постановою Кабінету Міністрів України від 14.02.2018 </w:t>
      </w:r>
      <w:r>
        <w:rPr>
          <w:lang w:val="uk-UA"/>
        </w:rPr>
        <w:t>№</w:t>
      </w:r>
      <w:r w:rsidRPr="00751118">
        <w:rPr>
          <w:lang w:val="uk-UA"/>
        </w:rPr>
        <w:t xml:space="preserve"> 77 </w:t>
      </w:r>
      <w:r>
        <w:rPr>
          <w:lang w:val="uk-UA"/>
        </w:rPr>
        <w:t>«</w:t>
      </w:r>
      <w:r w:rsidRPr="00751118">
        <w:rPr>
          <w:lang w:val="uk-UA"/>
        </w:rPr>
        <w:t>Деякі питання Державної інспекції енергетичного нагляду України</w:t>
      </w:r>
      <w:r>
        <w:rPr>
          <w:lang w:val="uk-UA"/>
        </w:rPr>
        <w:t>»</w:t>
      </w:r>
      <w:r w:rsidRPr="00751118">
        <w:rPr>
          <w:lang w:val="uk-UA"/>
        </w:rPr>
        <w:t xml:space="preserve"> </w:t>
      </w:r>
      <w:r w:rsidR="00F95F2C" w:rsidRPr="00F95F2C">
        <w:rPr>
          <w:lang w:val="uk-UA"/>
        </w:rPr>
        <w:t>затверд</w:t>
      </w:r>
      <w:r w:rsidR="00F95F2C">
        <w:rPr>
          <w:lang w:val="uk-UA"/>
        </w:rPr>
        <w:t>жено</w:t>
      </w:r>
      <w:r w:rsidR="00F95F2C" w:rsidRPr="00F95F2C">
        <w:rPr>
          <w:lang w:val="uk-UA"/>
        </w:rPr>
        <w:t xml:space="preserve"> Положення про Державну інспекцію енергетичного нагляду України.</w:t>
      </w:r>
    </w:p>
    <w:p w14:paraId="69460EA5" w14:textId="77777777" w:rsidR="00F95F2C" w:rsidRPr="00F95F2C" w:rsidRDefault="00F95F2C" w:rsidP="00F95F2C">
      <w:pPr>
        <w:spacing w:line="360" w:lineRule="auto"/>
        <w:ind w:firstLine="708"/>
        <w:jc w:val="both"/>
        <w:rPr>
          <w:lang w:val="uk-UA"/>
        </w:rPr>
      </w:pPr>
      <w:r w:rsidRPr="00F95F2C">
        <w:rPr>
          <w:lang w:val="uk-UA"/>
        </w:rPr>
        <w:t>Державна інспекція енергетичного нагляду України (</w:t>
      </w:r>
      <w:proofErr w:type="spellStart"/>
      <w:r w:rsidRPr="00F95F2C">
        <w:rPr>
          <w:lang w:val="uk-UA"/>
        </w:rPr>
        <w:t>Держенергонагляд</w:t>
      </w:r>
      <w:proofErr w:type="spellEnd"/>
      <w:r w:rsidRPr="00F95F2C">
        <w:rPr>
          <w:lang w:val="uk-UA"/>
        </w:rPr>
        <w:t xml:space="preserve">) </w:t>
      </w:r>
      <w:r>
        <w:rPr>
          <w:lang w:val="uk-UA"/>
        </w:rPr>
        <w:t>є</w:t>
      </w:r>
      <w:r w:rsidRPr="00F95F2C">
        <w:rPr>
          <w:lang w:val="uk-UA"/>
        </w:rPr>
        <w:t xml:space="preserve"> центральним органом виконавчої влади, діяльність якого спрямовується і координується Кабміном через Міністра енергетики та вугільної промисловості та який реалізує державну політику у сфері нагляду (контролю) у галузях електроенергетики та теплопостачання.</w:t>
      </w:r>
    </w:p>
    <w:p w14:paraId="3FACB552" w14:textId="77777777" w:rsidR="00F95F2C" w:rsidRPr="00F95F2C" w:rsidRDefault="00F95F2C" w:rsidP="00F95F2C">
      <w:pPr>
        <w:spacing w:line="360" w:lineRule="auto"/>
        <w:ind w:firstLine="708"/>
        <w:jc w:val="both"/>
        <w:rPr>
          <w:lang w:val="uk-UA"/>
        </w:rPr>
      </w:pPr>
      <w:r w:rsidRPr="00F95F2C">
        <w:rPr>
          <w:lang w:val="uk-UA"/>
        </w:rPr>
        <w:t xml:space="preserve">Основними завданнями </w:t>
      </w:r>
      <w:proofErr w:type="spellStart"/>
      <w:r w:rsidRPr="00F95F2C">
        <w:rPr>
          <w:lang w:val="uk-UA"/>
        </w:rPr>
        <w:t>Держенергонагляду</w:t>
      </w:r>
      <w:proofErr w:type="spellEnd"/>
      <w:r w:rsidRPr="00F95F2C">
        <w:rPr>
          <w:lang w:val="uk-UA"/>
        </w:rPr>
        <w:t xml:space="preserve"> є:</w:t>
      </w:r>
    </w:p>
    <w:p w14:paraId="5FB4DB69" w14:textId="77777777" w:rsidR="00F95F2C" w:rsidRPr="00F95F2C" w:rsidRDefault="00F95F2C" w:rsidP="00F95F2C">
      <w:pPr>
        <w:spacing w:line="360" w:lineRule="auto"/>
        <w:ind w:firstLine="708"/>
        <w:jc w:val="both"/>
        <w:rPr>
          <w:lang w:val="uk-UA"/>
        </w:rPr>
      </w:pPr>
      <w:r w:rsidRPr="00F95F2C">
        <w:rPr>
          <w:lang w:val="uk-UA"/>
        </w:rPr>
        <w:t>реалізація державної політики у сфері нагляду (контролю) у галузях електроенергетики та теплопостачання;</w:t>
      </w:r>
    </w:p>
    <w:p w14:paraId="38523611" w14:textId="77777777" w:rsidR="00F95F2C" w:rsidRPr="00F95F2C" w:rsidRDefault="00F95F2C" w:rsidP="00F95F2C">
      <w:pPr>
        <w:spacing w:line="360" w:lineRule="auto"/>
        <w:ind w:firstLine="708"/>
        <w:jc w:val="both"/>
        <w:rPr>
          <w:lang w:val="uk-UA"/>
        </w:rPr>
      </w:pPr>
      <w:r w:rsidRPr="00F95F2C">
        <w:rPr>
          <w:lang w:val="uk-UA"/>
        </w:rPr>
        <w:lastRenderedPageBreak/>
        <w:t>внесення на розгляд Міністра енергетики та вугільної промисловості пропозицій щодо забезпечення формування державної політики у сфері нагляду (контролю) у галузях електроенергетики та теплопостачання;</w:t>
      </w:r>
    </w:p>
    <w:p w14:paraId="44F10BBC" w14:textId="77777777" w:rsidR="00F95F2C" w:rsidRDefault="00F95F2C" w:rsidP="00F95F2C">
      <w:pPr>
        <w:spacing w:line="360" w:lineRule="auto"/>
        <w:ind w:firstLine="708"/>
        <w:jc w:val="both"/>
        <w:rPr>
          <w:lang w:val="uk-UA"/>
        </w:rPr>
      </w:pPr>
      <w:r w:rsidRPr="00F95F2C">
        <w:rPr>
          <w:lang w:val="uk-UA"/>
        </w:rPr>
        <w:t>організація та здійснення державної політики у сфері нагляду (контролю) у галузях електроенергетики та теплопостачання.</w:t>
      </w:r>
    </w:p>
    <w:p w14:paraId="6E5BF1CD" w14:textId="77777777" w:rsidR="00751118" w:rsidRDefault="00751118" w:rsidP="009E018D">
      <w:pPr>
        <w:spacing w:line="360" w:lineRule="auto"/>
        <w:ind w:firstLine="708"/>
        <w:jc w:val="both"/>
        <w:rPr>
          <w:lang w:val="uk-UA"/>
        </w:rPr>
      </w:pPr>
      <w:r w:rsidRPr="00751118">
        <w:rPr>
          <w:lang w:val="uk-UA"/>
        </w:rPr>
        <w:t xml:space="preserve">Способом здійснення державного енергетичного нагляду в електроенергетиці є проведення центральним органом виконавчої влади, що реалізує державну політику у сфері нагляду (контролю) в галузі електроенергетики, відповідних обстежень, перевірок, оглядів щодо обладнання електричних мереж учасників ринку електричної енергії (крім споживачів) у порядку, визначеному Законом України </w:t>
      </w:r>
      <w:r>
        <w:rPr>
          <w:lang w:val="uk-UA"/>
        </w:rPr>
        <w:t>«</w:t>
      </w:r>
      <w:r w:rsidRPr="00751118">
        <w:rPr>
          <w:lang w:val="uk-UA"/>
        </w:rPr>
        <w:t>Про основні засади державного нагляду (контролю) у сфері господарської діяльності</w:t>
      </w:r>
      <w:r>
        <w:rPr>
          <w:lang w:val="uk-UA"/>
        </w:rPr>
        <w:t>» відповідно до ч.3 ст</w:t>
      </w:r>
      <w:r w:rsidR="002A16C2">
        <w:rPr>
          <w:lang w:val="uk-UA"/>
        </w:rPr>
        <w:t xml:space="preserve">. </w:t>
      </w:r>
      <w:r>
        <w:rPr>
          <w:lang w:val="uk-UA"/>
        </w:rPr>
        <w:t>9 Закону України «Про ринок електричної енергії».</w:t>
      </w:r>
    </w:p>
    <w:p w14:paraId="585842C0" w14:textId="77777777" w:rsidR="00751118" w:rsidRDefault="00751118" w:rsidP="009E018D">
      <w:pPr>
        <w:spacing w:line="360" w:lineRule="auto"/>
        <w:ind w:firstLine="708"/>
        <w:jc w:val="both"/>
        <w:rPr>
          <w:lang w:val="uk-UA"/>
        </w:rPr>
      </w:pPr>
      <w:r w:rsidRPr="00751118">
        <w:rPr>
          <w:lang w:val="uk-UA"/>
        </w:rPr>
        <w:t xml:space="preserve">Способом здійснення державного нагляду (контролю) у сфері теплопостачання є проведення центральним органом виконавчої влади, що реалізує державну політику у сфері нагляду (контролю) у галузі теплопостачання, відповідних обстежень, перевірок, оглядів, інспектування теплових, </w:t>
      </w:r>
      <w:proofErr w:type="spellStart"/>
      <w:r w:rsidRPr="00751118">
        <w:rPr>
          <w:lang w:val="uk-UA"/>
        </w:rPr>
        <w:t>тепловикористальних</w:t>
      </w:r>
      <w:proofErr w:type="spellEnd"/>
      <w:r w:rsidRPr="00751118">
        <w:rPr>
          <w:lang w:val="uk-UA"/>
        </w:rPr>
        <w:t xml:space="preserve"> установок і мереж, енергетичного обладнання суб'єктів відносин у сфері теплопостачання в порядку, визначеному Законом України </w:t>
      </w:r>
      <w:r w:rsidR="007206BC">
        <w:rPr>
          <w:lang w:val="uk-UA"/>
        </w:rPr>
        <w:t>«</w:t>
      </w:r>
      <w:r w:rsidRPr="00751118">
        <w:rPr>
          <w:lang w:val="uk-UA"/>
        </w:rPr>
        <w:t>Про основні засади державного нагляду (контролю) у сфері господарської діяльності</w:t>
      </w:r>
      <w:r w:rsidR="007206BC">
        <w:rPr>
          <w:lang w:val="uk-UA"/>
        </w:rPr>
        <w:t>»</w:t>
      </w:r>
      <w:r>
        <w:rPr>
          <w:lang w:val="uk-UA"/>
        </w:rPr>
        <w:t xml:space="preserve"> відповідно до </w:t>
      </w:r>
      <w:r w:rsidR="007206BC">
        <w:rPr>
          <w:lang w:val="uk-UA"/>
        </w:rPr>
        <w:t>ч. 3 ст. 14 Закону України «Про теплопостачання»</w:t>
      </w:r>
    </w:p>
    <w:p w14:paraId="4D05B490" w14:textId="77777777" w:rsidR="009179D4" w:rsidRDefault="00C313A8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>Розпорядженням Кабінету Міністрів України від 18.12.2017 № 1020-р схвалено Стратегію реформування системи державного нагляду (контролю) (далі – Стратегія), якою передбачається запровадження ризик-орієнтованого підходу до пр</w:t>
      </w:r>
      <w:r w:rsidR="00153CC0" w:rsidRPr="00B91AA1">
        <w:rPr>
          <w:lang w:val="uk-UA"/>
        </w:rPr>
        <w:t>о</w:t>
      </w:r>
      <w:r w:rsidRPr="00B91AA1">
        <w:rPr>
          <w:lang w:val="uk-UA"/>
        </w:rPr>
        <w:t>ведення заходів державного нагляду (контролю) в усіх сферах, на які поширюється дія Закону України «Про основні засади державного нагляду (контролю) у сфері господарської діяльності».</w:t>
      </w:r>
    </w:p>
    <w:p w14:paraId="6EECD8F8" w14:textId="77777777" w:rsidR="00A05FF6" w:rsidRDefault="00A05FF6" w:rsidP="009E018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абз.6 ст. 5 </w:t>
      </w:r>
      <w:r w:rsidR="00061346" w:rsidRPr="00B91AA1">
        <w:rPr>
          <w:lang w:val="uk-UA"/>
        </w:rPr>
        <w:t>Закону України «Про основні засади державного нагляду (контролю) у сфері господарської діяльності»</w:t>
      </w:r>
      <w:r>
        <w:rPr>
          <w:lang w:val="uk-UA"/>
        </w:rPr>
        <w:t>,</w:t>
      </w:r>
      <w:r w:rsidR="00061346">
        <w:rPr>
          <w:lang w:val="uk-UA"/>
        </w:rPr>
        <w:t xml:space="preserve"> передбачено, що</w:t>
      </w:r>
      <w:r>
        <w:rPr>
          <w:lang w:val="uk-UA"/>
        </w:rPr>
        <w:t xml:space="preserve"> </w:t>
      </w:r>
      <w:r>
        <w:rPr>
          <w:lang w:val="uk-UA"/>
        </w:rPr>
        <w:lastRenderedPageBreak/>
        <w:t>к</w:t>
      </w:r>
      <w:r w:rsidRPr="00A05FF6">
        <w:rPr>
          <w:lang w:val="uk-UA"/>
        </w:rPr>
        <w:t>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затверджуються Кабінетом Міністрів України за поданням органу державного нагляду (конт</w:t>
      </w:r>
      <w:r>
        <w:rPr>
          <w:lang w:val="uk-UA"/>
        </w:rPr>
        <w:t>р</w:t>
      </w:r>
      <w:r w:rsidRPr="00A05FF6">
        <w:rPr>
          <w:lang w:val="uk-UA"/>
        </w:rPr>
        <w:t>олю).</w:t>
      </w:r>
    </w:p>
    <w:p w14:paraId="0F4C8813" w14:textId="77777777" w:rsidR="00061346" w:rsidRPr="00A05FF6" w:rsidRDefault="002A16C2" w:rsidP="009E018D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Постанова </w:t>
      </w:r>
      <w:r w:rsidRPr="00751118">
        <w:rPr>
          <w:lang w:val="uk-UA"/>
        </w:rPr>
        <w:t>Кабінету Міністрів України</w:t>
      </w:r>
      <w:r>
        <w:rPr>
          <w:lang w:val="uk-UA"/>
        </w:rPr>
        <w:t xml:space="preserve"> від </w:t>
      </w:r>
      <w:r w:rsidRPr="002A16C2">
        <w:rPr>
          <w:lang w:val="uk-UA"/>
        </w:rPr>
        <w:t xml:space="preserve">22.02.2008 </w:t>
      </w:r>
      <w:r>
        <w:rPr>
          <w:lang w:val="uk-UA"/>
        </w:rPr>
        <w:t>№</w:t>
      </w:r>
      <w:r w:rsidRPr="002A16C2">
        <w:rPr>
          <w:lang w:val="uk-UA"/>
        </w:rPr>
        <w:t xml:space="preserve"> 75 </w:t>
      </w:r>
      <w:r>
        <w:rPr>
          <w:lang w:val="uk-UA"/>
        </w:rPr>
        <w:t>«</w:t>
      </w:r>
      <w:r w:rsidRPr="002A16C2">
        <w:rPr>
          <w:lang w:val="uk-UA"/>
        </w:rPr>
        <w:t>Про затвердження критеріїв,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заходів державного нагляду (контролю) Державною інспекцією енергетичного нагляду</w:t>
      </w:r>
      <w:r>
        <w:rPr>
          <w:lang w:val="uk-UA"/>
        </w:rPr>
        <w:t>»</w:t>
      </w:r>
      <w:r w:rsidRPr="002A16C2">
        <w:rPr>
          <w:lang w:val="uk-UA"/>
        </w:rPr>
        <w:t xml:space="preserve"> (із змінами і доповненнями, внесеними ПКМУ від 18.12.2017 </w:t>
      </w:r>
      <w:r>
        <w:rPr>
          <w:lang w:val="uk-UA"/>
        </w:rPr>
        <w:t>№</w:t>
      </w:r>
      <w:r w:rsidRPr="002A16C2">
        <w:rPr>
          <w:lang w:val="uk-UA"/>
        </w:rPr>
        <w:t xml:space="preserve"> 1103)</w:t>
      </w:r>
      <w:r>
        <w:rPr>
          <w:lang w:val="uk-UA"/>
        </w:rPr>
        <w:t xml:space="preserve"> не відповідає вимогам Методики та чинному законодавству.</w:t>
      </w:r>
    </w:p>
    <w:p w14:paraId="060CFCA0" w14:textId="77777777" w:rsidR="00DB36B7" w:rsidRPr="00B91AA1" w:rsidRDefault="00DB36B7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>Відповідно до Методики</w:t>
      </w:r>
      <w:r w:rsidR="005D36EC" w:rsidRPr="00B91AA1">
        <w:rPr>
          <w:lang w:val="uk-UA"/>
        </w:rPr>
        <w:t xml:space="preserve"> проведено аналіз низки показників у сферах електроенергетики та теплопостачання</w:t>
      </w:r>
      <w:r w:rsidR="00070C7C" w:rsidRPr="00B91AA1">
        <w:rPr>
          <w:lang w:val="uk-UA"/>
        </w:rPr>
        <w:t xml:space="preserve"> за останні 5 років.</w:t>
      </w:r>
    </w:p>
    <w:p w14:paraId="3B4430AF" w14:textId="77777777" w:rsidR="00CA623F" w:rsidRPr="00B91AA1" w:rsidRDefault="00BD3FA0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 xml:space="preserve">Проведений аналіз показав, що з 2013 року по 2016 рік </w:t>
      </w:r>
      <w:r w:rsidR="002142E8" w:rsidRPr="00B91AA1">
        <w:rPr>
          <w:lang w:val="uk-UA"/>
        </w:rPr>
        <w:t xml:space="preserve">загальна </w:t>
      </w:r>
      <w:r w:rsidRPr="00B91AA1">
        <w:rPr>
          <w:lang w:val="uk-UA"/>
        </w:rPr>
        <w:t xml:space="preserve">кількість суб’єктів господарювання </w:t>
      </w:r>
      <w:r w:rsidR="00690071" w:rsidRPr="00B91AA1">
        <w:rPr>
          <w:lang w:val="uk-UA"/>
        </w:rPr>
        <w:t>у віднесених до відання Держенергонагляду сфер</w:t>
      </w:r>
      <w:r w:rsidR="00C165FA" w:rsidRPr="00B91AA1">
        <w:rPr>
          <w:lang w:val="uk-UA"/>
        </w:rPr>
        <w:t>ах</w:t>
      </w:r>
      <w:r w:rsidR="00690071" w:rsidRPr="00B91AA1">
        <w:rPr>
          <w:lang w:val="uk-UA"/>
        </w:rPr>
        <w:t xml:space="preserve"> </w:t>
      </w:r>
      <w:r w:rsidRPr="00B91AA1">
        <w:rPr>
          <w:lang w:val="uk-UA"/>
        </w:rPr>
        <w:t>поступово зменшувалася</w:t>
      </w:r>
      <w:r w:rsidR="00734C58" w:rsidRPr="00B91AA1">
        <w:rPr>
          <w:lang w:val="uk-UA"/>
        </w:rPr>
        <w:t>,</w:t>
      </w:r>
      <w:r w:rsidRPr="00B91AA1">
        <w:rPr>
          <w:lang w:val="uk-UA"/>
        </w:rPr>
        <w:t xml:space="preserve"> </w:t>
      </w:r>
      <w:r w:rsidR="00734C58" w:rsidRPr="00B91AA1">
        <w:rPr>
          <w:lang w:val="uk-UA"/>
        </w:rPr>
        <w:t>а</w:t>
      </w:r>
      <w:r w:rsidRPr="00B91AA1">
        <w:rPr>
          <w:lang w:val="uk-UA"/>
        </w:rPr>
        <w:t xml:space="preserve"> з набранням чинності</w:t>
      </w:r>
      <w:r w:rsidR="007A285E" w:rsidRPr="00B91AA1">
        <w:rPr>
          <w:lang w:val="uk-UA"/>
        </w:rPr>
        <w:t xml:space="preserve"> Закону України «Про ринок електричної енергії»</w:t>
      </w:r>
      <w:r w:rsidRPr="00B91AA1">
        <w:rPr>
          <w:lang w:val="uk-UA"/>
        </w:rPr>
        <w:t xml:space="preserve"> </w:t>
      </w:r>
      <w:r w:rsidR="00734C58" w:rsidRPr="00B91AA1">
        <w:rPr>
          <w:lang w:val="uk-UA"/>
        </w:rPr>
        <w:t>к</w:t>
      </w:r>
      <w:r w:rsidRPr="00B91AA1">
        <w:rPr>
          <w:lang w:val="uk-UA"/>
        </w:rPr>
        <w:t xml:space="preserve">ількість </w:t>
      </w:r>
      <w:r w:rsidR="00FE7FD6" w:rsidRPr="00B91AA1">
        <w:rPr>
          <w:lang w:val="uk-UA"/>
        </w:rPr>
        <w:t>таких</w:t>
      </w:r>
      <w:r w:rsidRPr="00B91AA1">
        <w:rPr>
          <w:lang w:val="uk-UA"/>
        </w:rPr>
        <w:t xml:space="preserve"> суб’єктів </w:t>
      </w:r>
      <w:r w:rsidR="00C6120A" w:rsidRPr="00B91AA1">
        <w:rPr>
          <w:lang w:val="uk-UA"/>
        </w:rPr>
        <w:t>різко знизилася</w:t>
      </w:r>
      <w:r w:rsidRPr="00B91AA1">
        <w:rPr>
          <w:lang w:val="uk-UA"/>
        </w:rPr>
        <w:t>. Так, у 201</w:t>
      </w:r>
      <w:r w:rsidR="00C6120A" w:rsidRPr="00B91AA1">
        <w:rPr>
          <w:lang w:val="uk-UA"/>
        </w:rPr>
        <w:t>6</w:t>
      </w:r>
      <w:r w:rsidRPr="00B91AA1">
        <w:rPr>
          <w:lang w:val="uk-UA"/>
        </w:rPr>
        <w:t xml:space="preserve"> році порівняно з 2013 роком кількість суб’єктів господарювання зменшилася на </w:t>
      </w:r>
      <w:r w:rsidR="00C6120A" w:rsidRPr="00B91AA1">
        <w:rPr>
          <w:lang w:val="uk-UA"/>
        </w:rPr>
        <w:t xml:space="preserve">34,47%, а </w:t>
      </w:r>
      <w:r w:rsidR="002142E8" w:rsidRPr="00B91AA1">
        <w:rPr>
          <w:lang w:val="uk-UA"/>
        </w:rPr>
        <w:t>у 2017 році – на 59,58%.</w:t>
      </w:r>
    </w:p>
    <w:p w14:paraId="420C8A02" w14:textId="77777777" w:rsidR="00E278F3" w:rsidRPr="00B91AA1" w:rsidRDefault="003B2941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>Також серед вагомих причин</w:t>
      </w:r>
      <w:r w:rsidR="00E278F3" w:rsidRPr="00B91AA1">
        <w:rPr>
          <w:lang w:val="uk-UA"/>
        </w:rPr>
        <w:t xml:space="preserve"> зменшення кількості </w:t>
      </w:r>
      <w:r w:rsidR="00690071" w:rsidRPr="00B91AA1">
        <w:rPr>
          <w:lang w:val="uk-UA"/>
        </w:rPr>
        <w:t>суб’єктів господарювання у віднесених до відання Держенергонагляду сфер</w:t>
      </w:r>
      <w:r w:rsidR="00CF5522" w:rsidRPr="00B91AA1">
        <w:rPr>
          <w:lang w:val="uk-UA"/>
        </w:rPr>
        <w:t>ах</w:t>
      </w:r>
      <w:r w:rsidR="00E278F3" w:rsidRPr="00B91AA1">
        <w:rPr>
          <w:lang w:val="uk-UA"/>
        </w:rPr>
        <w:t xml:space="preserve"> </w:t>
      </w:r>
      <w:r w:rsidRPr="00B91AA1">
        <w:rPr>
          <w:lang w:val="uk-UA"/>
        </w:rPr>
        <w:t>слід зазначити</w:t>
      </w:r>
      <w:r w:rsidR="00E278F3" w:rsidRPr="00B91AA1">
        <w:rPr>
          <w:lang w:val="uk-UA"/>
        </w:rPr>
        <w:t xml:space="preserve"> анексі</w:t>
      </w:r>
      <w:r w:rsidRPr="00B91AA1">
        <w:rPr>
          <w:lang w:val="uk-UA"/>
        </w:rPr>
        <w:t>ю</w:t>
      </w:r>
      <w:r w:rsidR="00E278F3" w:rsidRPr="00B91AA1">
        <w:rPr>
          <w:lang w:val="uk-UA"/>
        </w:rPr>
        <w:t xml:space="preserve"> Криму та окупаці</w:t>
      </w:r>
      <w:r w:rsidRPr="00B91AA1">
        <w:rPr>
          <w:lang w:val="uk-UA"/>
        </w:rPr>
        <w:t>ю</w:t>
      </w:r>
      <w:r w:rsidR="00E278F3" w:rsidRPr="00B91AA1">
        <w:rPr>
          <w:lang w:val="uk-UA"/>
        </w:rPr>
        <w:t xml:space="preserve"> </w:t>
      </w:r>
      <w:r w:rsidR="00732F6C">
        <w:rPr>
          <w:lang w:val="uk-UA"/>
        </w:rPr>
        <w:t>частини Донецької та Луганської областей</w:t>
      </w:r>
      <w:r w:rsidR="00E278F3" w:rsidRPr="00B91AA1">
        <w:rPr>
          <w:lang w:val="uk-UA"/>
        </w:rPr>
        <w:t>.</w:t>
      </w:r>
    </w:p>
    <w:p w14:paraId="76173FCC" w14:textId="77777777" w:rsidR="00732F6C" w:rsidRDefault="00E278F3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>Кількість порушень, зафіксованих за результатами проведених планових та позапланових заходів з державного енергетичного нагляду у сферах електроенергетики та теплопостачання у 2013-2017 роках</w:t>
      </w:r>
      <w:r w:rsidR="00A56454" w:rsidRPr="00B91AA1">
        <w:rPr>
          <w:lang w:val="uk-UA"/>
        </w:rPr>
        <w:t>,</w:t>
      </w:r>
      <w:r w:rsidRPr="00B91AA1">
        <w:rPr>
          <w:lang w:val="uk-UA"/>
        </w:rPr>
        <w:t xml:space="preserve"> зменшилася </w:t>
      </w:r>
      <w:r w:rsidR="00732F6C">
        <w:rPr>
          <w:lang w:val="uk-UA"/>
        </w:rPr>
        <w:t xml:space="preserve">                          </w:t>
      </w:r>
      <w:r w:rsidR="00016C8A" w:rsidRPr="00B91AA1">
        <w:rPr>
          <w:lang w:val="uk-UA"/>
        </w:rPr>
        <w:t>з 58</w:t>
      </w:r>
      <w:r w:rsidR="007D65BD" w:rsidRPr="00B91AA1">
        <w:rPr>
          <w:lang w:val="uk-UA"/>
        </w:rPr>
        <w:t> </w:t>
      </w:r>
      <w:r w:rsidR="00016C8A" w:rsidRPr="00B91AA1">
        <w:rPr>
          <w:lang w:val="uk-UA"/>
        </w:rPr>
        <w:t>012 до 42</w:t>
      </w:r>
      <w:r w:rsidR="007D65BD" w:rsidRPr="00B91AA1">
        <w:rPr>
          <w:lang w:val="uk-UA"/>
        </w:rPr>
        <w:t> </w:t>
      </w:r>
      <w:r w:rsidR="00016C8A" w:rsidRPr="00B91AA1">
        <w:rPr>
          <w:lang w:val="uk-UA"/>
        </w:rPr>
        <w:t>936 одиниць (</w:t>
      </w:r>
      <w:r w:rsidRPr="00B91AA1">
        <w:rPr>
          <w:lang w:val="uk-UA"/>
        </w:rPr>
        <w:t>на 25,99%</w:t>
      </w:r>
      <w:r w:rsidR="00016C8A" w:rsidRPr="00B91AA1">
        <w:rPr>
          <w:lang w:val="uk-UA"/>
        </w:rPr>
        <w:t>)</w:t>
      </w:r>
      <w:r w:rsidR="00732F6C">
        <w:rPr>
          <w:lang w:val="uk-UA"/>
        </w:rPr>
        <w:t>.</w:t>
      </w:r>
    </w:p>
    <w:p w14:paraId="74F7637A" w14:textId="77777777" w:rsidR="00E278F3" w:rsidRPr="00B91AA1" w:rsidRDefault="000F6B0B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 xml:space="preserve">Значне зменшення виявлених порушень порівняно з 2013 роком </w:t>
      </w:r>
      <w:r w:rsidR="002873CC" w:rsidRPr="00B91AA1">
        <w:rPr>
          <w:lang w:val="uk-UA"/>
        </w:rPr>
        <w:t>пов’язано</w:t>
      </w:r>
      <w:r w:rsidRPr="00B91AA1">
        <w:rPr>
          <w:lang w:val="uk-UA"/>
        </w:rPr>
        <w:t xml:space="preserve"> із введенням мораторію на проведення перевірок</w:t>
      </w:r>
      <w:r w:rsidR="002873CC" w:rsidRPr="00B91AA1">
        <w:rPr>
          <w:lang w:val="uk-UA"/>
        </w:rPr>
        <w:t>, який ді</w:t>
      </w:r>
      <w:r w:rsidR="00000889" w:rsidRPr="00B91AA1">
        <w:rPr>
          <w:lang w:val="uk-UA"/>
        </w:rPr>
        <w:t>яв частково</w:t>
      </w:r>
      <w:r w:rsidR="002873CC" w:rsidRPr="00B91AA1">
        <w:rPr>
          <w:lang w:val="uk-UA"/>
        </w:rPr>
        <w:t xml:space="preserve"> </w:t>
      </w:r>
      <w:r w:rsidR="00000889" w:rsidRPr="00B91AA1">
        <w:rPr>
          <w:lang w:val="uk-UA"/>
        </w:rPr>
        <w:t>упродовж 201</w:t>
      </w:r>
      <w:r w:rsidR="00CE011B" w:rsidRPr="00B91AA1">
        <w:rPr>
          <w:lang w:val="uk-UA"/>
        </w:rPr>
        <w:t>4</w:t>
      </w:r>
      <w:r w:rsidR="00000889" w:rsidRPr="00B91AA1">
        <w:rPr>
          <w:lang w:val="uk-UA"/>
        </w:rPr>
        <w:t>-2016 років, та у повному обсязі – протягом 2017-2018</w:t>
      </w:r>
      <w:r w:rsidR="00F71330" w:rsidRPr="00B91AA1">
        <w:rPr>
          <w:lang w:val="uk-UA"/>
        </w:rPr>
        <w:t xml:space="preserve"> років</w:t>
      </w:r>
      <w:r w:rsidR="007C6375" w:rsidRPr="00B91AA1">
        <w:rPr>
          <w:lang w:val="uk-UA"/>
        </w:rPr>
        <w:t>.</w:t>
      </w:r>
    </w:p>
    <w:p w14:paraId="51B02E97" w14:textId="77777777" w:rsidR="009C3F1D" w:rsidRPr="00B91AA1" w:rsidRDefault="007C6375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lastRenderedPageBreak/>
        <w:t>На фоні значного падіння обсягу споживання електричної енергії впродовж 2013-2017 рр. (</w:t>
      </w:r>
      <w:r w:rsidR="00A56454" w:rsidRPr="00B91AA1">
        <w:rPr>
          <w:lang w:val="uk-UA"/>
        </w:rPr>
        <w:t xml:space="preserve">на </w:t>
      </w:r>
      <w:r w:rsidRPr="00B91AA1">
        <w:rPr>
          <w:lang w:val="uk-UA"/>
        </w:rPr>
        <w:t xml:space="preserve">15,96%) </w:t>
      </w:r>
      <w:r w:rsidR="009C3F1D" w:rsidRPr="00B91AA1">
        <w:rPr>
          <w:lang w:val="uk-UA"/>
        </w:rPr>
        <w:t xml:space="preserve">у зв’язку із </w:t>
      </w:r>
      <w:r w:rsidRPr="00B91AA1">
        <w:rPr>
          <w:lang w:val="uk-UA"/>
        </w:rPr>
        <w:t>згортання</w:t>
      </w:r>
      <w:r w:rsidR="009C3F1D" w:rsidRPr="00B91AA1">
        <w:rPr>
          <w:lang w:val="uk-UA"/>
        </w:rPr>
        <w:t>м</w:t>
      </w:r>
      <w:r w:rsidRPr="00B91AA1">
        <w:rPr>
          <w:lang w:val="uk-UA"/>
        </w:rPr>
        <w:t xml:space="preserve"> економічного потенціалу суб’єктів господарювання</w:t>
      </w:r>
      <w:r w:rsidR="009C3F1D" w:rsidRPr="00B91AA1">
        <w:rPr>
          <w:lang w:val="uk-UA"/>
        </w:rPr>
        <w:t xml:space="preserve">, </w:t>
      </w:r>
      <w:r w:rsidR="00A56454" w:rsidRPr="00B91AA1">
        <w:rPr>
          <w:lang w:val="uk-UA"/>
        </w:rPr>
        <w:t>призупинення</w:t>
      </w:r>
      <w:r w:rsidR="00DC0A47" w:rsidRPr="00B91AA1">
        <w:rPr>
          <w:lang w:val="uk-UA"/>
        </w:rPr>
        <w:t>м</w:t>
      </w:r>
      <w:r w:rsidR="00A56454" w:rsidRPr="00B91AA1">
        <w:rPr>
          <w:lang w:val="uk-UA"/>
        </w:rPr>
        <w:t xml:space="preserve"> або обмеження</w:t>
      </w:r>
      <w:r w:rsidR="00DC0A47" w:rsidRPr="00B91AA1">
        <w:rPr>
          <w:lang w:val="uk-UA"/>
        </w:rPr>
        <w:t>м</w:t>
      </w:r>
      <w:r w:rsidR="00A56454" w:rsidRPr="00B91AA1">
        <w:rPr>
          <w:lang w:val="uk-UA"/>
        </w:rPr>
        <w:t xml:space="preserve"> їх господарської діяльності, </w:t>
      </w:r>
      <w:r w:rsidR="009C3F1D" w:rsidRPr="00B91AA1">
        <w:rPr>
          <w:lang w:val="uk-UA"/>
        </w:rPr>
        <w:t xml:space="preserve">кількість технологічних порушень, що виникали в </w:t>
      </w:r>
      <w:proofErr w:type="spellStart"/>
      <w:r w:rsidR="009C3F1D" w:rsidRPr="00B91AA1">
        <w:rPr>
          <w:lang w:val="uk-UA"/>
        </w:rPr>
        <w:t>електро</w:t>
      </w:r>
      <w:proofErr w:type="spellEnd"/>
      <w:r w:rsidR="009C3F1D" w:rsidRPr="00B91AA1">
        <w:rPr>
          <w:lang w:val="uk-UA"/>
        </w:rPr>
        <w:t>- та теплоенергетичних мережах, продовжувала зростати.</w:t>
      </w:r>
      <w:r w:rsidR="000C3688" w:rsidRPr="00B91AA1">
        <w:rPr>
          <w:lang w:val="uk-UA"/>
        </w:rPr>
        <w:t xml:space="preserve"> Так, загальна кількість технологічних порушень, що сталися в енергетичних мережах </w:t>
      </w:r>
      <w:r w:rsidR="00690071" w:rsidRPr="00B91AA1">
        <w:rPr>
          <w:lang w:val="uk-UA"/>
        </w:rPr>
        <w:t>суб’єктів господарювання у віднесених до відання Держенергонагляду сфер</w:t>
      </w:r>
      <w:r w:rsidR="00CF5522" w:rsidRPr="00B91AA1">
        <w:rPr>
          <w:lang w:val="uk-UA"/>
        </w:rPr>
        <w:t>ах</w:t>
      </w:r>
      <w:r w:rsidR="000C3688" w:rsidRPr="00B91AA1">
        <w:rPr>
          <w:lang w:val="uk-UA"/>
        </w:rPr>
        <w:t xml:space="preserve"> у 2017 році порівняно</w:t>
      </w:r>
      <w:r w:rsidR="00624A2B" w:rsidRPr="00B91AA1">
        <w:rPr>
          <w:lang w:val="uk-UA"/>
        </w:rPr>
        <w:t xml:space="preserve"> </w:t>
      </w:r>
      <w:r w:rsidR="000C3688" w:rsidRPr="00B91AA1">
        <w:rPr>
          <w:lang w:val="uk-UA"/>
        </w:rPr>
        <w:t xml:space="preserve">з 2013 роком зросла з 3,22% до 8,62%. </w:t>
      </w:r>
    </w:p>
    <w:p w14:paraId="6EF826A7" w14:textId="77777777" w:rsidR="00070C7C" w:rsidRPr="00B91AA1" w:rsidRDefault="00C371FF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>Забезпечення ефективного державного нагляду (контролю) є важливим чинником створення належних умов для функціонування суспільства. З одного боку це основний елемент забезпечення сталого та безпечного функціонування Об’єднаної енергосистеми України та підтримки інших суспільно важливих цілей. З іншого боку, впорядкування контролюючої діяльності у сферах електроенергетики та теплопостачання сприяє розвитку</w:t>
      </w:r>
      <w:r w:rsidR="00D67274" w:rsidRPr="00B91AA1">
        <w:rPr>
          <w:lang w:val="uk-UA"/>
        </w:rPr>
        <w:t xml:space="preserve"> бізнесу</w:t>
      </w:r>
      <w:r w:rsidRPr="00B91AA1">
        <w:rPr>
          <w:lang w:val="uk-UA"/>
        </w:rPr>
        <w:t xml:space="preserve"> та створенню привабливого інвестиційного клімату в Україні.</w:t>
      </w:r>
    </w:p>
    <w:p w14:paraId="40EFBFAA" w14:textId="77777777" w:rsidR="00070C7C" w:rsidRPr="00B91AA1" w:rsidRDefault="00070C7C" w:rsidP="009E018D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lang w:val="uk-UA"/>
        </w:rPr>
      </w:pPr>
      <w:r w:rsidRPr="00B91AA1">
        <w:rPr>
          <w:lang w:val="uk-UA"/>
        </w:rPr>
        <w:t xml:space="preserve">Прийняття </w:t>
      </w:r>
      <w:r w:rsidR="00C57AD5" w:rsidRPr="00B91AA1">
        <w:rPr>
          <w:lang w:val="uk-UA"/>
        </w:rPr>
        <w:t>постанови</w:t>
      </w:r>
      <w:r w:rsidRPr="00B91AA1">
        <w:rPr>
          <w:lang w:val="uk-UA"/>
        </w:rPr>
        <w:t xml:space="preserve"> дозволить Державній інспекції енергетичного нагляду України забезпечити прозорість процесу віднесення суб’єктів господарювання до відповідних ступенів ризику</w:t>
      </w:r>
      <w:r w:rsidR="009564F4" w:rsidRPr="00B91AA1">
        <w:rPr>
          <w:lang w:val="uk-UA"/>
        </w:rPr>
        <w:t xml:space="preserve"> (високого, середнього або незначного)</w:t>
      </w:r>
      <w:r w:rsidRPr="00B91AA1">
        <w:rPr>
          <w:lang w:val="uk-UA"/>
        </w:rPr>
        <w:t xml:space="preserve"> та ведення переліку суб’єктів господарювання, що підлягають державному нагляду (контролю) у сферах</w:t>
      </w:r>
      <w:r w:rsidRPr="00B91AA1">
        <w:rPr>
          <w:bCs/>
          <w:lang w:val="uk-UA"/>
        </w:rPr>
        <w:t xml:space="preserve"> електроенергетики та теплопостачання</w:t>
      </w:r>
      <w:r w:rsidRPr="00B91AA1">
        <w:rPr>
          <w:lang w:val="uk-UA"/>
        </w:rPr>
        <w:t xml:space="preserve"> до наступного планового періоду.</w:t>
      </w:r>
    </w:p>
    <w:p w14:paraId="4898C548" w14:textId="77777777" w:rsidR="00070C7C" w:rsidRPr="00B91AA1" w:rsidRDefault="00070C7C" w:rsidP="009E018D">
      <w:pPr>
        <w:spacing w:line="360" w:lineRule="auto"/>
        <w:ind w:firstLine="708"/>
        <w:jc w:val="both"/>
        <w:rPr>
          <w:lang w:val="uk-UA"/>
        </w:rPr>
      </w:pPr>
    </w:p>
    <w:p w14:paraId="27D543E8" w14:textId="520DB9F4" w:rsidR="009179D4" w:rsidRPr="00B91AA1" w:rsidRDefault="008145E3" w:rsidP="009E018D">
      <w:pPr>
        <w:spacing w:line="360" w:lineRule="auto"/>
        <w:ind w:firstLine="709"/>
        <w:jc w:val="both"/>
        <w:rPr>
          <w:b/>
          <w:lang w:val="uk-UA"/>
        </w:rPr>
      </w:pPr>
      <w:r w:rsidRPr="00B91AA1">
        <w:rPr>
          <w:b/>
          <w:lang w:val="uk-UA"/>
        </w:rPr>
        <w:t>3</w:t>
      </w:r>
      <w:r w:rsidR="00756820" w:rsidRPr="00B91AA1">
        <w:rPr>
          <w:b/>
          <w:lang w:val="uk-UA"/>
        </w:rPr>
        <w:t>.</w:t>
      </w:r>
      <w:r w:rsidR="00756820" w:rsidRPr="00B91AA1">
        <w:rPr>
          <w:b/>
          <w:lang w:val="uk-UA"/>
        </w:rPr>
        <w:tab/>
      </w:r>
      <w:r w:rsidR="008F69B4" w:rsidRPr="00B91AA1">
        <w:rPr>
          <w:b/>
          <w:lang w:val="uk-UA"/>
        </w:rPr>
        <w:t xml:space="preserve">Суть </w:t>
      </w:r>
      <w:proofErr w:type="spellStart"/>
      <w:r w:rsidR="002363A4">
        <w:rPr>
          <w:b/>
          <w:lang w:val="uk-UA"/>
        </w:rPr>
        <w:t>проєкт</w:t>
      </w:r>
      <w:r w:rsidR="008F69B4" w:rsidRPr="00B91AA1">
        <w:rPr>
          <w:b/>
          <w:lang w:val="uk-UA"/>
        </w:rPr>
        <w:t>у</w:t>
      </w:r>
      <w:proofErr w:type="spellEnd"/>
      <w:r w:rsidR="008F69B4" w:rsidRPr="00B91AA1">
        <w:rPr>
          <w:b/>
          <w:lang w:val="uk-UA"/>
        </w:rPr>
        <w:t xml:space="preserve"> </w:t>
      </w:r>
      <w:proofErr w:type="spellStart"/>
      <w:r w:rsidR="008F69B4" w:rsidRPr="00B91AA1">
        <w:rPr>
          <w:b/>
          <w:lang w:val="uk-UA"/>
        </w:rPr>
        <w:t>акта</w:t>
      </w:r>
      <w:proofErr w:type="spellEnd"/>
    </w:p>
    <w:p w14:paraId="3B9AF293" w14:textId="6A6B9DD9" w:rsidR="009179D4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r w:rsidR="00D356BB" w:rsidRPr="00B91AA1">
        <w:rPr>
          <w:lang w:val="uk-UA"/>
        </w:rPr>
        <w:t>ом</w:t>
      </w:r>
      <w:proofErr w:type="spellEnd"/>
      <w:r w:rsidR="00D356BB" w:rsidRPr="00B91AA1">
        <w:rPr>
          <w:lang w:val="uk-UA"/>
        </w:rPr>
        <w:t xml:space="preserve"> </w:t>
      </w:r>
      <w:r w:rsidR="00C57AD5" w:rsidRPr="00B91AA1">
        <w:rPr>
          <w:lang w:val="uk-UA"/>
        </w:rPr>
        <w:t>постанови</w:t>
      </w:r>
      <w:r w:rsidR="00D356BB" w:rsidRPr="00B91AA1">
        <w:rPr>
          <w:lang w:val="uk-UA"/>
        </w:rPr>
        <w:t xml:space="preserve"> </w:t>
      </w:r>
      <w:r w:rsidR="00A744D6" w:rsidRPr="00B91AA1">
        <w:rPr>
          <w:lang w:val="uk-UA"/>
        </w:rPr>
        <w:t xml:space="preserve">встановлено переліки подій, які містять ризик настання негативних наслідків, визначено перелік негативних наслідків, до яких можуть </w:t>
      </w:r>
      <w:r w:rsidR="00E47B5C">
        <w:rPr>
          <w:lang w:val="uk-UA"/>
        </w:rPr>
        <w:t>призвести ці ризики, та вичерпний перелік</w:t>
      </w:r>
      <w:r w:rsidR="00A744D6" w:rsidRPr="00B91AA1">
        <w:rPr>
          <w:lang w:val="uk-UA"/>
        </w:rPr>
        <w:t xml:space="preserve"> критерії</w:t>
      </w:r>
      <w:r w:rsidR="00E47B5C">
        <w:rPr>
          <w:lang w:val="uk-UA"/>
        </w:rPr>
        <w:t>в</w:t>
      </w:r>
      <w:r w:rsidR="00A744D6" w:rsidRPr="00B91AA1">
        <w:rPr>
          <w:lang w:val="uk-UA"/>
        </w:rPr>
        <w:t xml:space="preserve">, </w:t>
      </w:r>
      <w:r w:rsidR="00D356BB" w:rsidRPr="00B91AA1">
        <w:rPr>
          <w:lang w:val="uk-UA"/>
        </w:rPr>
        <w:t xml:space="preserve">за якими оцінюється ступінь ризику </w:t>
      </w:r>
      <w:r w:rsidR="00A744D6" w:rsidRPr="00B91AA1">
        <w:rPr>
          <w:lang w:val="uk-UA"/>
        </w:rPr>
        <w:t>від</w:t>
      </w:r>
      <w:r w:rsidR="008145E3" w:rsidRPr="00B91AA1">
        <w:rPr>
          <w:lang w:val="uk-UA"/>
        </w:rPr>
        <w:t xml:space="preserve"> </w:t>
      </w:r>
      <w:r w:rsidR="00D356BB" w:rsidRPr="00B91AA1">
        <w:rPr>
          <w:lang w:val="uk-UA"/>
        </w:rPr>
        <w:t>провадження господарської діяльності</w:t>
      </w:r>
      <w:r w:rsidR="00A744D6" w:rsidRPr="00B91AA1">
        <w:rPr>
          <w:lang w:val="uk-UA"/>
        </w:rPr>
        <w:t>, визначається періодичність проведення планових заходів державного нагляду (контролю)</w:t>
      </w:r>
      <w:r w:rsidR="008145E3" w:rsidRPr="00B91AA1">
        <w:rPr>
          <w:lang w:val="uk-UA"/>
        </w:rPr>
        <w:t xml:space="preserve">. </w:t>
      </w:r>
    </w:p>
    <w:p w14:paraId="4258BC55" w14:textId="77777777" w:rsidR="00A744D6" w:rsidRPr="00B91AA1" w:rsidRDefault="00A744D6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lastRenderedPageBreak/>
        <w:t>Крім того, встановлено кількість балів, яка нараховується суб’єкту господарювання для встановлення його ступеня ризику з метою визначення низки суб’єктів господарювання, що підлягають державному нагляду (контролю) у наступному плановому періоді.</w:t>
      </w:r>
    </w:p>
    <w:p w14:paraId="613DD4EE" w14:textId="77777777" w:rsidR="009179D4" w:rsidRPr="00B91AA1" w:rsidRDefault="009179D4" w:rsidP="009E018D">
      <w:pPr>
        <w:spacing w:line="360" w:lineRule="auto"/>
        <w:jc w:val="both"/>
        <w:rPr>
          <w:i/>
          <w:lang w:val="uk-UA"/>
        </w:rPr>
      </w:pPr>
    </w:p>
    <w:p w14:paraId="1C1E9650" w14:textId="77777777" w:rsidR="009179D4" w:rsidRPr="00B91AA1" w:rsidRDefault="008145E3" w:rsidP="009E018D">
      <w:pPr>
        <w:spacing w:line="360" w:lineRule="auto"/>
        <w:ind w:firstLine="708"/>
        <w:jc w:val="both"/>
        <w:rPr>
          <w:b/>
          <w:lang w:val="uk-UA"/>
        </w:rPr>
      </w:pPr>
      <w:r w:rsidRPr="00B91AA1">
        <w:rPr>
          <w:b/>
          <w:lang w:val="uk-UA"/>
        </w:rPr>
        <w:t>4</w:t>
      </w:r>
      <w:r w:rsidR="009179D4" w:rsidRPr="00B91AA1">
        <w:rPr>
          <w:b/>
          <w:lang w:val="uk-UA"/>
        </w:rPr>
        <w:t>.</w:t>
      </w:r>
      <w:r w:rsidR="009179D4" w:rsidRPr="00B91AA1">
        <w:rPr>
          <w:b/>
          <w:lang w:val="uk-UA"/>
        </w:rPr>
        <w:tab/>
        <w:t>Правові аспекти</w:t>
      </w:r>
    </w:p>
    <w:p w14:paraId="5C794B76" w14:textId="77777777" w:rsidR="00B67A0C" w:rsidRPr="00B91AA1" w:rsidRDefault="00275536" w:rsidP="009E018D">
      <w:pPr>
        <w:tabs>
          <w:tab w:val="left" w:pos="720"/>
        </w:tabs>
        <w:spacing w:after="60" w:line="360" w:lineRule="auto"/>
        <w:ind w:firstLine="720"/>
        <w:contextualSpacing/>
        <w:jc w:val="both"/>
        <w:rPr>
          <w:sz w:val="32"/>
          <w:lang w:val="uk-UA"/>
        </w:rPr>
      </w:pPr>
      <w:r w:rsidRPr="00B91AA1">
        <w:rPr>
          <w:lang w:val="uk-UA"/>
        </w:rPr>
        <w:t>Основними нормативно-</w:t>
      </w:r>
      <w:r w:rsidR="00C032AE" w:rsidRPr="00B91AA1">
        <w:rPr>
          <w:lang w:val="uk-UA"/>
        </w:rPr>
        <w:t>правовими актами, що регулюють відносини у цій сфері є</w:t>
      </w:r>
      <w:r w:rsidR="002477B2" w:rsidRPr="00B91AA1">
        <w:rPr>
          <w:lang w:val="uk-UA"/>
        </w:rPr>
        <w:t>:</w:t>
      </w:r>
      <w:r w:rsidR="00670926" w:rsidRPr="00B91AA1">
        <w:rPr>
          <w:lang w:val="uk-UA"/>
        </w:rPr>
        <w:t xml:space="preserve"> </w:t>
      </w:r>
      <w:r w:rsidR="00763372" w:rsidRPr="00B91AA1">
        <w:rPr>
          <w:lang w:val="uk-UA"/>
        </w:rPr>
        <w:t xml:space="preserve">Конституція України, </w:t>
      </w:r>
      <w:r w:rsidR="00B67A0C" w:rsidRPr="00B91AA1">
        <w:rPr>
          <w:lang w:val="uk-UA"/>
        </w:rPr>
        <w:t>Закони України «Про ринок електричної енергії», «Про теплопостачання», «Про комбіноване виробництво теплової та електричної енергії (когенерацію) та використання скидного енергопотенціалу», «Про основні засади державного нагляду (контролю) у сфері господарської діяльності», постанови Кабінету Міністрів України від 10.09.2014 № 442 «</w:t>
      </w:r>
      <w:r w:rsidR="00B67A0C" w:rsidRPr="00B91AA1">
        <w:rPr>
          <w:rStyle w:val="rvts23"/>
          <w:lang w:val="uk-UA"/>
        </w:rPr>
        <w:t>Про оптимізацію системи центральних органів виконавчої влади</w:t>
      </w:r>
      <w:r w:rsidR="00231107" w:rsidRPr="00B91AA1">
        <w:rPr>
          <w:lang w:val="uk-UA"/>
        </w:rPr>
        <w:t>»</w:t>
      </w:r>
      <w:r w:rsidR="00B67A0C" w:rsidRPr="00B91AA1">
        <w:rPr>
          <w:lang w:val="uk-UA"/>
        </w:rPr>
        <w:t xml:space="preserve">, </w:t>
      </w:r>
      <w:bookmarkStart w:id="1" w:name="_Hlk520469443"/>
      <w:r w:rsidR="00B67A0C" w:rsidRPr="00B91AA1">
        <w:rPr>
          <w:lang w:val="uk-UA"/>
        </w:rPr>
        <w:t>від 10</w:t>
      </w:r>
      <w:r w:rsidR="00C12321" w:rsidRPr="00B91AA1">
        <w:rPr>
          <w:lang w:val="uk-UA"/>
        </w:rPr>
        <w:t>.05.</w:t>
      </w:r>
      <w:r w:rsidR="00B67A0C" w:rsidRPr="00B91AA1">
        <w:rPr>
          <w:lang w:val="uk-UA"/>
        </w:rPr>
        <w:t>2018</w:t>
      </w:r>
      <w:r w:rsidR="00C12321" w:rsidRPr="00B91AA1">
        <w:rPr>
          <w:lang w:val="uk-UA"/>
        </w:rPr>
        <w:t xml:space="preserve"> </w:t>
      </w:r>
      <w:r w:rsidR="00B67A0C" w:rsidRPr="00B91AA1">
        <w:rPr>
          <w:lang w:val="uk-UA"/>
        </w:rPr>
        <w:t xml:space="preserve">№ 342 «Про затвердження </w:t>
      </w:r>
      <w:proofErr w:type="spellStart"/>
      <w:r w:rsidR="00B67A0C" w:rsidRPr="00B91AA1">
        <w:rPr>
          <w:lang w:val="uk-UA"/>
        </w:rPr>
        <w:t>методик</w:t>
      </w:r>
      <w:proofErr w:type="spellEnd"/>
      <w:r w:rsidR="00B67A0C" w:rsidRPr="00B91AA1">
        <w:rPr>
          <w:lang w:val="uk-UA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(контролю)»</w:t>
      </w:r>
      <w:bookmarkEnd w:id="1"/>
      <w:r w:rsidR="00B67A0C" w:rsidRPr="00B91AA1">
        <w:rPr>
          <w:lang w:val="uk-UA"/>
        </w:rPr>
        <w:t>, та від 14</w:t>
      </w:r>
      <w:r w:rsidR="00C12321" w:rsidRPr="00B91AA1">
        <w:rPr>
          <w:lang w:val="uk-UA"/>
        </w:rPr>
        <w:t>.02.</w:t>
      </w:r>
      <w:r w:rsidR="00B67A0C" w:rsidRPr="00B91AA1">
        <w:rPr>
          <w:lang w:val="uk-UA"/>
        </w:rPr>
        <w:t>2018 № 77 «Деякі питання Державної інспекції енергетичного нагляду України»</w:t>
      </w:r>
      <w:r w:rsidR="0050465E">
        <w:rPr>
          <w:lang w:val="uk-UA"/>
        </w:rPr>
        <w:t>.</w:t>
      </w:r>
    </w:p>
    <w:p w14:paraId="3450C3E3" w14:textId="77777777" w:rsidR="00A42308" w:rsidRPr="00B91AA1" w:rsidRDefault="00A42308" w:rsidP="009E018D">
      <w:pPr>
        <w:spacing w:line="360" w:lineRule="auto"/>
        <w:ind w:firstLine="709"/>
        <w:jc w:val="both"/>
        <w:rPr>
          <w:lang w:val="uk-UA"/>
        </w:rPr>
      </w:pPr>
    </w:p>
    <w:p w14:paraId="1977A306" w14:textId="77777777" w:rsidR="002477B2" w:rsidRPr="00B91AA1" w:rsidRDefault="008145E3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b/>
          <w:lang w:val="uk-UA"/>
        </w:rPr>
        <w:t>5</w:t>
      </w:r>
      <w:r w:rsidR="002954CD" w:rsidRPr="00B91AA1">
        <w:rPr>
          <w:b/>
          <w:lang w:val="uk-UA"/>
        </w:rPr>
        <w:t xml:space="preserve">. Фінансово-економічне </w:t>
      </w:r>
      <w:r w:rsidR="007F71A8" w:rsidRPr="00B91AA1">
        <w:rPr>
          <w:b/>
          <w:lang w:val="uk-UA"/>
        </w:rPr>
        <w:t>обґрунтування</w:t>
      </w:r>
    </w:p>
    <w:p w14:paraId="1DB5E291" w14:textId="77777777" w:rsidR="009179D4" w:rsidRPr="00B91AA1" w:rsidRDefault="00231107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 xml:space="preserve">Реалізація </w:t>
      </w:r>
      <w:r w:rsidR="005F6B35" w:rsidRPr="00B91AA1">
        <w:rPr>
          <w:lang w:val="uk-UA"/>
        </w:rPr>
        <w:t>постанови</w:t>
      </w:r>
      <w:r w:rsidR="005D53AA" w:rsidRPr="00B91AA1">
        <w:rPr>
          <w:lang w:val="uk-UA"/>
        </w:rPr>
        <w:t xml:space="preserve"> не потреб</w:t>
      </w:r>
      <w:r w:rsidRPr="00B91AA1">
        <w:rPr>
          <w:lang w:val="uk-UA"/>
        </w:rPr>
        <w:t xml:space="preserve">ує виділення додаткових коштів </w:t>
      </w:r>
      <w:r w:rsidR="005D53AA" w:rsidRPr="00B91AA1">
        <w:rPr>
          <w:lang w:val="uk-UA"/>
        </w:rPr>
        <w:t xml:space="preserve">з Державного </w:t>
      </w:r>
      <w:r w:rsidR="009A6797" w:rsidRPr="00B91AA1">
        <w:rPr>
          <w:lang w:val="uk-UA"/>
        </w:rPr>
        <w:t xml:space="preserve">та місцевого </w:t>
      </w:r>
      <w:r w:rsidR="005D53AA" w:rsidRPr="00B91AA1">
        <w:rPr>
          <w:lang w:val="uk-UA"/>
        </w:rPr>
        <w:t>бюджет</w:t>
      </w:r>
      <w:r w:rsidR="009A6797" w:rsidRPr="00B91AA1">
        <w:rPr>
          <w:lang w:val="uk-UA"/>
        </w:rPr>
        <w:t>ів</w:t>
      </w:r>
      <w:r w:rsidR="005D53AA" w:rsidRPr="00B91AA1">
        <w:rPr>
          <w:lang w:val="uk-UA"/>
        </w:rPr>
        <w:t xml:space="preserve"> України</w:t>
      </w:r>
      <w:r w:rsidR="009179D4" w:rsidRPr="00B91AA1">
        <w:rPr>
          <w:lang w:val="uk-UA"/>
        </w:rPr>
        <w:t>.</w:t>
      </w:r>
    </w:p>
    <w:p w14:paraId="65C18FCB" w14:textId="77777777" w:rsidR="00A42308" w:rsidRPr="00B91AA1" w:rsidRDefault="00A42308" w:rsidP="009E018D">
      <w:pPr>
        <w:spacing w:line="360" w:lineRule="auto"/>
        <w:ind w:firstLine="708"/>
        <w:jc w:val="both"/>
        <w:rPr>
          <w:lang w:val="uk-UA"/>
        </w:rPr>
      </w:pPr>
    </w:p>
    <w:p w14:paraId="4DB644A6" w14:textId="77777777" w:rsidR="00A652B3" w:rsidRPr="00B91AA1" w:rsidRDefault="00A652B3" w:rsidP="009E018D">
      <w:pPr>
        <w:spacing w:line="360" w:lineRule="auto"/>
        <w:ind w:firstLine="708"/>
        <w:jc w:val="both"/>
        <w:rPr>
          <w:b/>
          <w:lang w:val="uk-UA"/>
        </w:rPr>
      </w:pPr>
      <w:r w:rsidRPr="00B91AA1">
        <w:rPr>
          <w:b/>
          <w:lang w:val="uk-UA"/>
        </w:rPr>
        <w:t>6. Прогноз впливу</w:t>
      </w:r>
    </w:p>
    <w:p w14:paraId="64746F57" w14:textId="77777777" w:rsidR="009A6797" w:rsidRPr="00B91AA1" w:rsidRDefault="00600717" w:rsidP="009E018D">
      <w:pPr>
        <w:spacing w:line="360" w:lineRule="auto"/>
        <w:ind w:firstLine="708"/>
        <w:jc w:val="both"/>
        <w:rPr>
          <w:lang w:val="uk-UA"/>
        </w:rPr>
      </w:pPr>
      <w:r w:rsidRPr="00B91AA1">
        <w:rPr>
          <w:lang w:val="uk-UA"/>
        </w:rPr>
        <w:t xml:space="preserve">Реалізація постанови </w:t>
      </w:r>
      <w:r w:rsidR="00BA4462">
        <w:rPr>
          <w:lang w:val="uk-UA"/>
        </w:rPr>
        <w:t xml:space="preserve">за предметом правового регулювання </w:t>
      </w:r>
      <w:r w:rsidRPr="00B91AA1">
        <w:rPr>
          <w:lang w:val="uk-UA"/>
        </w:rPr>
        <w:t xml:space="preserve">не </w:t>
      </w:r>
      <w:r w:rsidR="00BA4462">
        <w:rPr>
          <w:lang w:val="uk-UA"/>
        </w:rPr>
        <w:t>матиме вплив</w:t>
      </w:r>
      <w:r w:rsidRPr="00B91AA1">
        <w:rPr>
          <w:lang w:val="uk-UA"/>
        </w:rPr>
        <w:t xml:space="preserve"> на р</w:t>
      </w:r>
      <w:r w:rsidR="009A6797" w:rsidRPr="00B91AA1">
        <w:rPr>
          <w:lang w:val="uk-UA"/>
        </w:rPr>
        <w:t>инкове середовище</w:t>
      </w:r>
      <w:r w:rsidRPr="00B91AA1">
        <w:rPr>
          <w:lang w:val="uk-UA"/>
        </w:rPr>
        <w:t>, р</w:t>
      </w:r>
      <w:r w:rsidR="009A6797" w:rsidRPr="00B91AA1">
        <w:rPr>
          <w:lang w:val="uk-UA"/>
        </w:rPr>
        <w:t>озвиток регіонів</w:t>
      </w:r>
      <w:r w:rsidRPr="00B91AA1">
        <w:rPr>
          <w:lang w:val="uk-UA"/>
        </w:rPr>
        <w:t>, р</w:t>
      </w:r>
      <w:r w:rsidR="009A6797" w:rsidRPr="00B91AA1">
        <w:rPr>
          <w:lang w:val="uk-UA"/>
        </w:rPr>
        <w:t>инок праці</w:t>
      </w:r>
      <w:r w:rsidRPr="00B91AA1">
        <w:rPr>
          <w:lang w:val="uk-UA"/>
        </w:rPr>
        <w:t>, г</w:t>
      </w:r>
      <w:r w:rsidR="009A6797" w:rsidRPr="00B91AA1">
        <w:rPr>
          <w:lang w:val="uk-UA"/>
        </w:rPr>
        <w:t>ромадське здоров’я</w:t>
      </w:r>
      <w:r w:rsidRPr="00B91AA1">
        <w:rPr>
          <w:lang w:val="uk-UA"/>
        </w:rPr>
        <w:t>, е</w:t>
      </w:r>
      <w:r w:rsidR="009A6797" w:rsidRPr="00B91AA1">
        <w:rPr>
          <w:lang w:val="uk-UA"/>
        </w:rPr>
        <w:t>кологі</w:t>
      </w:r>
      <w:r w:rsidRPr="00B91AA1">
        <w:rPr>
          <w:lang w:val="uk-UA"/>
        </w:rPr>
        <w:t>ю</w:t>
      </w:r>
      <w:r w:rsidR="009A6797" w:rsidRPr="00B91AA1">
        <w:rPr>
          <w:lang w:val="uk-UA"/>
        </w:rPr>
        <w:t xml:space="preserve"> та довкілля</w:t>
      </w:r>
      <w:r w:rsidRPr="00B91AA1">
        <w:rPr>
          <w:lang w:val="uk-UA"/>
        </w:rPr>
        <w:t>.</w:t>
      </w:r>
    </w:p>
    <w:p w14:paraId="61E0510B" w14:textId="77777777" w:rsidR="009A6797" w:rsidRPr="00B91AA1" w:rsidRDefault="009A6797" w:rsidP="009E018D">
      <w:pPr>
        <w:spacing w:line="360" w:lineRule="auto"/>
        <w:ind w:firstLine="708"/>
        <w:jc w:val="both"/>
        <w:rPr>
          <w:lang w:val="uk-UA"/>
        </w:rPr>
      </w:pPr>
    </w:p>
    <w:p w14:paraId="7591F72C" w14:textId="77777777" w:rsidR="008145E3" w:rsidRPr="00B91AA1" w:rsidRDefault="00A652B3" w:rsidP="009E018D">
      <w:pPr>
        <w:spacing w:line="360" w:lineRule="auto"/>
        <w:ind w:firstLine="708"/>
        <w:jc w:val="both"/>
        <w:rPr>
          <w:b/>
          <w:lang w:val="uk-UA"/>
        </w:rPr>
      </w:pPr>
      <w:r w:rsidRPr="00B91AA1">
        <w:rPr>
          <w:b/>
          <w:lang w:val="uk-UA"/>
        </w:rPr>
        <w:lastRenderedPageBreak/>
        <w:t>7</w:t>
      </w:r>
      <w:r w:rsidR="009179D4" w:rsidRPr="00B91AA1">
        <w:rPr>
          <w:b/>
          <w:lang w:val="uk-UA"/>
        </w:rPr>
        <w:t xml:space="preserve">. </w:t>
      </w:r>
      <w:r w:rsidR="006C5B98" w:rsidRPr="00B91AA1">
        <w:rPr>
          <w:b/>
          <w:lang w:val="uk-UA"/>
        </w:rPr>
        <w:t xml:space="preserve">Позиція заінтересованих </w:t>
      </w:r>
      <w:r w:rsidR="006566E5" w:rsidRPr="00B91AA1">
        <w:rPr>
          <w:b/>
          <w:lang w:val="uk-UA"/>
        </w:rPr>
        <w:t>сторін</w:t>
      </w:r>
    </w:p>
    <w:p w14:paraId="7BC44D90" w14:textId="77777777" w:rsidR="008F3AB0" w:rsidRPr="00B91AA1" w:rsidRDefault="000052D2" w:rsidP="009E018D">
      <w:pPr>
        <w:shd w:val="clear" w:color="auto" w:fill="FFFFFF"/>
        <w:spacing w:line="360" w:lineRule="auto"/>
        <w:ind w:firstLine="709"/>
        <w:jc w:val="both"/>
        <w:textAlignment w:val="baseline"/>
        <w:rPr>
          <w:lang w:val="uk-UA"/>
        </w:rPr>
      </w:pPr>
      <w:r w:rsidRPr="00B91AA1">
        <w:rPr>
          <w:lang w:val="uk-UA"/>
        </w:rPr>
        <w:t>Прогноз в</w:t>
      </w:r>
      <w:r w:rsidR="008F3AB0" w:rsidRPr="00B91AA1">
        <w:rPr>
          <w:lang w:val="uk-UA"/>
        </w:rPr>
        <w:t>плив</w:t>
      </w:r>
      <w:r w:rsidRPr="00B91AA1">
        <w:rPr>
          <w:lang w:val="uk-UA"/>
        </w:rPr>
        <w:t>у</w:t>
      </w:r>
      <w:r w:rsidR="008F3AB0" w:rsidRPr="00B91AA1">
        <w:rPr>
          <w:lang w:val="uk-UA"/>
        </w:rPr>
        <w:t xml:space="preserve"> на ключові інтереси усіх заінтересованих сторін визначено у додатку до пояснювальної записки. </w:t>
      </w:r>
    </w:p>
    <w:p w14:paraId="34E093CF" w14:textId="5FCB4BCE" w:rsidR="00076631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863130" w:rsidRPr="00B91AA1">
        <w:rPr>
          <w:lang w:val="uk-UA"/>
        </w:rPr>
        <w:t xml:space="preserve"> </w:t>
      </w:r>
      <w:r w:rsidR="00341C6E" w:rsidRPr="00B91AA1">
        <w:rPr>
          <w:lang w:val="uk-UA"/>
        </w:rPr>
        <w:t>постанови</w:t>
      </w:r>
      <w:r w:rsidR="00863130" w:rsidRPr="00B91AA1">
        <w:rPr>
          <w:lang w:val="uk-UA"/>
        </w:rPr>
        <w:t xml:space="preserve"> не потребує погодження з регіонами, оскільки не стосується питання розвитку адміністративно-територіальних одиниць.</w:t>
      </w:r>
    </w:p>
    <w:p w14:paraId="269347D7" w14:textId="3966B8BF" w:rsidR="00863130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863130" w:rsidRPr="00B91AA1">
        <w:rPr>
          <w:lang w:val="uk-UA"/>
        </w:rPr>
        <w:t xml:space="preserve"> </w:t>
      </w:r>
      <w:r w:rsidR="00341C6E" w:rsidRPr="00B91AA1">
        <w:rPr>
          <w:lang w:val="uk-UA"/>
        </w:rPr>
        <w:t>постанови</w:t>
      </w:r>
      <w:r w:rsidR="00863130" w:rsidRPr="00B91AA1">
        <w:rPr>
          <w:lang w:val="uk-UA"/>
        </w:rPr>
        <w:t xml:space="preserve"> не стосується сфери наукової та науково-технічної діяльності</w:t>
      </w:r>
      <w:r w:rsidR="0079055C" w:rsidRPr="00B91AA1">
        <w:rPr>
          <w:lang w:val="uk-UA"/>
        </w:rPr>
        <w:t xml:space="preserve"> та не потребує направлення на розгляд до Наукового комітету Національної ради України з питань розвитку науки і технологій.</w:t>
      </w:r>
    </w:p>
    <w:p w14:paraId="7B37BC33" w14:textId="4CD51B32" w:rsidR="00E82124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341C6E" w:rsidRPr="00B91AA1">
        <w:rPr>
          <w:lang w:val="uk-UA"/>
        </w:rPr>
        <w:t xml:space="preserve"> також не стосується діяльності о</w:t>
      </w:r>
      <w:r w:rsidR="00E82124" w:rsidRPr="00B91AA1">
        <w:rPr>
          <w:lang w:val="uk-UA"/>
        </w:rPr>
        <w:t>рганів місцевого самоврядування</w:t>
      </w:r>
      <w:r w:rsidR="00341C6E" w:rsidRPr="00B91AA1">
        <w:rPr>
          <w:lang w:val="uk-UA"/>
        </w:rPr>
        <w:t xml:space="preserve"> та с</w:t>
      </w:r>
      <w:r w:rsidR="00E82124" w:rsidRPr="00B91AA1">
        <w:rPr>
          <w:lang w:val="uk-UA"/>
        </w:rPr>
        <w:t>оціально-трудової сфери</w:t>
      </w:r>
      <w:r w:rsidR="00341C6E" w:rsidRPr="00B91AA1">
        <w:rPr>
          <w:lang w:val="uk-UA"/>
        </w:rPr>
        <w:t>.</w:t>
      </w:r>
    </w:p>
    <w:p w14:paraId="243BDA1A" w14:textId="77777777" w:rsidR="002A4581" w:rsidRPr="00B91AA1" w:rsidRDefault="002A4581" w:rsidP="009E018D">
      <w:pPr>
        <w:spacing w:line="360" w:lineRule="auto"/>
        <w:ind w:firstLine="708"/>
        <w:jc w:val="both"/>
        <w:rPr>
          <w:b/>
          <w:lang w:val="uk-UA"/>
        </w:rPr>
      </w:pPr>
    </w:p>
    <w:p w14:paraId="272AEEBD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lang w:val="uk-UA"/>
        </w:rPr>
      </w:pPr>
      <w:r w:rsidRPr="00B91AA1">
        <w:rPr>
          <w:b/>
          <w:lang w:val="uk-UA"/>
        </w:rPr>
        <w:t>8</w:t>
      </w:r>
      <w:r w:rsidR="00670926" w:rsidRPr="00B91AA1">
        <w:rPr>
          <w:b/>
          <w:lang w:val="uk-UA"/>
        </w:rPr>
        <w:t>.</w:t>
      </w:r>
      <w:r w:rsidRPr="00B91AA1">
        <w:rPr>
          <w:b/>
          <w:lang w:val="uk-UA"/>
        </w:rPr>
        <w:t xml:space="preserve"> Громадське обговорення</w:t>
      </w:r>
    </w:p>
    <w:p w14:paraId="35159397" w14:textId="443ADD9A" w:rsidR="00576260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576260" w:rsidRPr="00B91AA1">
        <w:rPr>
          <w:lang w:val="uk-UA"/>
        </w:rPr>
        <w:t xml:space="preserve"> </w:t>
      </w:r>
      <w:r w:rsidR="00E82124" w:rsidRPr="00B91AA1">
        <w:rPr>
          <w:lang w:val="uk-UA"/>
        </w:rPr>
        <w:t>постанови</w:t>
      </w:r>
      <w:r w:rsidR="00576260" w:rsidRPr="00B91AA1">
        <w:rPr>
          <w:lang w:val="uk-UA"/>
        </w:rPr>
        <w:t xml:space="preserve"> </w:t>
      </w:r>
      <w:r w:rsidR="00BA4462">
        <w:rPr>
          <w:lang w:val="uk-UA"/>
        </w:rPr>
        <w:t>бу</w:t>
      </w:r>
      <w:r w:rsidR="0050465E">
        <w:rPr>
          <w:lang w:val="uk-UA"/>
        </w:rPr>
        <w:t>ло</w:t>
      </w:r>
      <w:r w:rsidR="00BA4462">
        <w:rPr>
          <w:lang w:val="uk-UA"/>
        </w:rPr>
        <w:t xml:space="preserve"> </w:t>
      </w:r>
      <w:r w:rsidR="00576260" w:rsidRPr="00B91AA1">
        <w:rPr>
          <w:lang w:val="uk-UA"/>
        </w:rPr>
        <w:t xml:space="preserve">розміщено на офіційному сайті </w:t>
      </w:r>
      <w:proofErr w:type="spellStart"/>
      <w:r w:rsidR="00576260" w:rsidRPr="00B91AA1">
        <w:rPr>
          <w:lang w:val="uk-UA"/>
        </w:rPr>
        <w:t>Міненерговугілля</w:t>
      </w:r>
      <w:proofErr w:type="spellEnd"/>
      <w:r w:rsidR="00576260" w:rsidRPr="00B91AA1">
        <w:rPr>
          <w:lang w:val="uk-UA"/>
        </w:rPr>
        <w:t xml:space="preserve"> (</w:t>
      </w:r>
      <w:r w:rsidR="00D85DE7" w:rsidRPr="00D85DE7">
        <w:rPr>
          <w:lang w:val="uk-UA"/>
        </w:rPr>
        <w:t>http://mpe.kmu.gov.ua/minugol/control/uk/publish/article?art_id=245332970&amp;cat_id=167475</w:t>
      </w:r>
      <w:r w:rsidR="00576260" w:rsidRPr="00B91AA1">
        <w:rPr>
          <w:lang w:val="uk-UA"/>
        </w:rPr>
        <w:t xml:space="preserve">). </w:t>
      </w:r>
      <w:r w:rsidR="0050465E">
        <w:rPr>
          <w:lang w:val="uk-UA"/>
        </w:rPr>
        <w:t xml:space="preserve">Додаткове буде розміщено на офіційному сайті </w:t>
      </w:r>
      <w:r w:rsidR="00D85DE7" w:rsidRPr="00B91AA1">
        <w:rPr>
          <w:lang w:val="uk-UA"/>
        </w:rPr>
        <w:t>Державної інспекції енергетичного нагляду України</w:t>
      </w:r>
      <w:r w:rsidR="00D85DE7">
        <w:rPr>
          <w:lang w:val="uk-UA"/>
        </w:rPr>
        <w:t xml:space="preserve"> (</w:t>
      </w:r>
      <w:r w:rsidR="00D85DE7" w:rsidRPr="00D85DE7">
        <w:rPr>
          <w:lang w:val="uk-UA"/>
        </w:rPr>
        <w:t>https://sies.gov.ua/</w:t>
      </w:r>
      <w:r w:rsidR="00D85DE7">
        <w:rPr>
          <w:lang w:val="uk-UA"/>
        </w:rPr>
        <w:t>)</w:t>
      </w:r>
    </w:p>
    <w:p w14:paraId="17CBD3E9" w14:textId="3983EF23" w:rsidR="003B5963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3B5963" w:rsidRPr="00B91AA1">
        <w:rPr>
          <w:lang w:val="uk-UA"/>
        </w:rPr>
        <w:t xml:space="preserve"> </w:t>
      </w:r>
      <w:proofErr w:type="spellStart"/>
      <w:r w:rsidR="003B5963" w:rsidRPr="00B91AA1">
        <w:rPr>
          <w:lang w:val="uk-UA"/>
        </w:rPr>
        <w:t>акта</w:t>
      </w:r>
      <w:proofErr w:type="spellEnd"/>
      <w:r w:rsidR="003B5963" w:rsidRPr="00B91AA1">
        <w:rPr>
          <w:lang w:val="uk-UA"/>
        </w:rPr>
        <w:t xml:space="preserve"> не потребує консультацій з громадськістю.</w:t>
      </w:r>
    </w:p>
    <w:p w14:paraId="018D5323" w14:textId="77777777" w:rsidR="00BA4462" w:rsidRPr="00B91AA1" w:rsidRDefault="00BA4462" w:rsidP="009E018D">
      <w:pPr>
        <w:spacing w:line="360" w:lineRule="auto"/>
        <w:ind w:firstLine="708"/>
        <w:jc w:val="both"/>
        <w:rPr>
          <w:b/>
          <w:lang w:val="uk-UA"/>
        </w:rPr>
      </w:pPr>
    </w:p>
    <w:p w14:paraId="25BB0FC0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lang w:val="uk-UA"/>
        </w:rPr>
      </w:pPr>
      <w:r w:rsidRPr="00B91AA1">
        <w:rPr>
          <w:b/>
          <w:lang w:val="uk-UA"/>
        </w:rPr>
        <w:t xml:space="preserve">9. Позиція заінтересованих органів </w:t>
      </w:r>
    </w:p>
    <w:p w14:paraId="14580EC6" w14:textId="0006C701" w:rsidR="00A42308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 w:rsidR="00A42308" w:rsidRPr="00B91AA1">
        <w:rPr>
          <w:lang w:val="uk-UA"/>
        </w:rPr>
        <w:t xml:space="preserve"> </w:t>
      </w:r>
      <w:r w:rsidR="00E82124" w:rsidRPr="00B91AA1">
        <w:rPr>
          <w:lang w:val="uk-UA"/>
        </w:rPr>
        <w:t>постанови</w:t>
      </w:r>
      <w:r w:rsidR="00A42308" w:rsidRPr="00B91AA1">
        <w:rPr>
          <w:lang w:val="uk-UA"/>
        </w:rPr>
        <w:t xml:space="preserve"> потребує</w:t>
      </w:r>
      <w:r w:rsidR="00D85DE7">
        <w:rPr>
          <w:lang w:val="uk-UA"/>
        </w:rPr>
        <w:t xml:space="preserve"> повторного </w:t>
      </w:r>
      <w:r w:rsidR="00A42308" w:rsidRPr="00B91AA1">
        <w:rPr>
          <w:lang w:val="uk-UA"/>
        </w:rPr>
        <w:t xml:space="preserve">погодження з Міністерством економічного розвитку і торгівлі України, </w:t>
      </w:r>
      <w:r w:rsidR="00866FF0" w:rsidRPr="00B91AA1">
        <w:rPr>
          <w:lang w:val="uk-UA"/>
        </w:rPr>
        <w:t>Мі</w:t>
      </w:r>
      <w:bookmarkStart w:id="2" w:name="_GoBack"/>
      <w:bookmarkEnd w:id="2"/>
      <w:r w:rsidR="00866FF0" w:rsidRPr="00B91AA1">
        <w:rPr>
          <w:lang w:val="uk-UA"/>
        </w:rPr>
        <w:t xml:space="preserve">ністерством фінансів України, </w:t>
      </w:r>
      <w:r w:rsidR="00A42308" w:rsidRPr="00B91AA1">
        <w:rPr>
          <w:lang w:val="uk-UA"/>
        </w:rPr>
        <w:t xml:space="preserve">Державною регуляторною службою України. </w:t>
      </w:r>
    </w:p>
    <w:p w14:paraId="113B6EA1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lang w:val="uk-UA"/>
        </w:rPr>
      </w:pPr>
    </w:p>
    <w:p w14:paraId="300FC429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bCs/>
          <w:lang w:val="uk-UA"/>
        </w:rPr>
      </w:pPr>
      <w:r w:rsidRPr="00B91AA1">
        <w:rPr>
          <w:b/>
          <w:bCs/>
          <w:lang w:val="uk-UA"/>
        </w:rPr>
        <w:t>10. Правова експертиза</w:t>
      </w:r>
    </w:p>
    <w:p w14:paraId="67E5146C" w14:textId="57A40E42" w:rsidR="00576260" w:rsidRPr="00B91AA1" w:rsidRDefault="002363A4" w:rsidP="009E018D">
      <w:pPr>
        <w:spacing w:line="360" w:lineRule="auto"/>
        <w:ind w:firstLine="708"/>
        <w:jc w:val="both"/>
        <w:rPr>
          <w:lang w:val="uk-UA"/>
        </w:rPr>
      </w:pPr>
      <w:bookmarkStart w:id="3" w:name="n99"/>
      <w:bookmarkEnd w:id="3"/>
      <w:proofErr w:type="spellStart"/>
      <w:r>
        <w:rPr>
          <w:lang w:val="uk-UA"/>
        </w:rPr>
        <w:t>Проєкт</w:t>
      </w:r>
      <w:proofErr w:type="spellEnd"/>
      <w:r w:rsidR="00866FF0" w:rsidRPr="00B91AA1">
        <w:rPr>
          <w:lang w:val="uk-UA"/>
        </w:rPr>
        <w:t xml:space="preserve"> </w:t>
      </w:r>
      <w:r w:rsidR="00E82124" w:rsidRPr="00B91AA1">
        <w:rPr>
          <w:lang w:val="uk-UA"/>
        </w:rPr>
        <w:t>постанови</w:t>
      </w:r>
      <w:r w:rsidR="00866FF0" w:rsidRPr="00B91AA1">
        <w:rPr>
          <w:lang w:val="uk-UA"/>
        </w:rPr>
        <w:t xml:space="preserve"> відповідно до </w:t>
      </w:r>
      <w:r w:rsidR="008F4821" w:rsidRPr="00B91AA1">
        <w:rPr>
          <w:lang w:val="uk-UA"/>
        </w:rPr>
        <w:t>§</w:t>
      </w:r>
      <w:r w:rsidR="00866FF0" w:rsidRPr="00B91AA1">
        <w:rPr>
          <w:lang w:val="uk-UA"/>
        </w:rPr>
        <w:t xml:space="preserve"> 44 Регламенту </w:t>
      </w:r>
      <w:r w:rsidR="008F4821" w:rsidRPr="00B91AA1">
        <w:rPr>
          <w:lang w:val="uk-UA"/>
        </w:rPr>
        <w:t>Кабінету Міністрів України, затвердженого постановою Уряду від 18.07.2007 № 950</w:t>
      </w:r>
      <w:r w:rsidR="00866FF0" w:rsidRPr="00B91AA1">
        <w:rPr>
          <w:lang w:val="uk-UA"/>
        </w:rPr>
        <w:t>, буде подано</w:t>
      </w:r>
      <w:r w:rsidR="00576260" w:rsidRPr="00B91AA1">
        <w:rPr>
          <w:lang w:val="uk-UA"/>
        </w:rPr>
        <w:t xml:space="preserve"> </w:t>
      </w:r>
      <w:r w:rsidR="00866FF0" w:rsidRPr="00B91AA1">
        <w:rPr>
          <w:lang w:val="uk-UA"/>
        </w:rPr>
        <w:t>Міністерству юстиції України дл</w:t>
      </w:r>
      <w:bookmarkStart w:id="4" w:name="n100"/>
      <w:bookmarkEnd w:id="4"/>
      <w:r w:rsidR="00866FF0" w:rsidRPr="00B91AA1">
        <w:rPr>
          <w:lang w:val="uk-UA"/>
        </w:rPr>
        <w:t>я проведення правової експертизи.</w:t>
      </w:r>
    </w:p>
    <w:p w14:paraId="5A4D6C48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bCs/>
          <w:lang w:val="uk-UA"/>
        </w:rPr>
      </w:pPr>
    </w:p>
    <w:p w14:paraId="673FDDAC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bCs/>
          <w:lang w:val="uk-UA"/>
        </w:rPr>
      </w:pPr>
      <w:r w:rsidRPr="00B91AA1">
        <w:rPr>
          <w:b/>
          <w:bCs/>
          <w:lang w:val="uk-UA"/>
        </w:rPr>
        <w:t>11. Запобігання дискримінації</w:t>
      </w:r>
    </w:p>
    <w:p w14:paraId="1827EF52" w14:textId="2CE755BA" w:rsidR="00576260" w:rsidRPr="00B91AA1" w:rsidRDefault="00576260" w:rsidP="009E018D">
      <w:pPr>
        <w:spacing w:line="360" w:lineRule="auto"/>
        <w:ind w:firstLine="708"/>
        <w:jc w:val="both"/>
        <w:rPr>
          <w:lang w:val="uk-UA"/>
        </w:rPr>
      </w:pPr>
      <w:bookmarkStart w:id="5" w:name="n101"/>
      <w:bookmarkStart w:id="6" w:name="n102"/>
      <w:bookmarkEnd w:id="5"/>
      <w:bookmarkEnd w:id="6"/>
      <w:r w:rsidRPr="00B91AA1">
        <w:rPr>
          <w:lang w:val="uk-UA"/>
        </w:rPr>
        <w:lastRenderedPageBreak/>
        <w:t xml:space="preserve">У </w:t>
      </w:r>
      <w:proofErr w:type="spellStart"/>
      <w:r w:rsidR="002363A4">
        <w:rPr>
          <w:lang w:val="uk-UA"/>
        </w:rPr>
        <w:t>проєкт</w:t>
      </w:r>
      <w:r w:rsidRPr="00B91AA1">
        <w:rPr>
          <w:lang w:val="uk-UA"/>
        </w:rPr>
        <w:t>і</w:t>
      </w:r>
      <w:proofErr w:type="spellEnd"/>
      <w:r w:rsidRPr="00B91AA1">
        <w:rPr>
          <w:lang w:val="uk-UA"/>
        </w:rPr>
        <w:t xml:space="preserve"> </w:t>
      </w:r>
      <w:proofErr w:type="spellStart"/>
      <w:r w:rsidRPr="00B91AA1">
        <w:rPr>
          <w:lang w:val="uk-UA"/>
        </w:rPr>
        <w:t>акта</w:t>
      </w:r>
      <w:proofErr w:type="spellEnd"/>
      <w:r w:rsidRPr="00B91AA1">
        <w:rPr>
          <w:lang w:val="uk-UA"/>
        </w:rPr>
        <w:t xml:space="preserve"> відсутні положення, які містять ознаки дискримінації.</w:t>
      </w:r>
      <w:r w:rsidR="00C55F5E" w:rsidRPr="00B91AA1">
        <w:rPr>
          <w:lang w:val="uk-UA"/>
        </w:rPr>
        <w:t xml:space="preserve"> </w:t>
      </w:r>
      <w:proofErr w:type="spellStart"/>
      <w:r w:rsidR="002363A4">
        <w:rPr>
          <w:lang w:val="uk-UA"/>
        </w:rPr>
        <w:t>Проєкт</w:t>
      </w:r>
      <w:proofErr w:type="spellEnd"/>
      <w:r w:rsidR="00C55F5E" w:rsidRPr="00B91AA1">
        <w:rPr>
          <w:lang w:val="uk-UA"/>
        </w:rPr>
        <w:t xml:space="preserve"> </w:t>
      </w:r>
      <w:r w:rsidR="00E65B75" w:rsidRPr="00B91AA1">
        <w:rPr>
          <w:lang w:val="uk-UA"/>
        </w:rPr>
        <w:t>постанови</w:t>
      </w:r>
      <w:r w:rsidR="00C55F5E" w:rsidRPr="00B91AA1">
        <w:rPr>
          <w:lang w:val="uk-UA"/>
        </w:rPr>
        <w:t xml:space="preserve"> не потребує проведення громадської </w:t>
      </w:r>
      <w:proofErr w:type="spellStart"/>
      <w:r w:rsidR="00C55F5E" w:rsidRPr="00B91AA1">
        <w:rPr>
          <w:lang w:val="uk-UA"/>
        </w:rPr>
        <w:t>антидискримінаційної</w:t>
      </w:r>
      <w:proofErr w:type="spellEnd"/>
      <w:r w:rsidR="00C55F5E" w:rsidRPr="00B91AA1">
        <w:rPr>
          <w:lang w:val="uk-UA"/>
        </w:rPr>
        <w:t xml:space="preserve"> експертизи.</w:t>
      </w:r>
    </w:p>
    <w:p w14:paraId="4F14DC7A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bCs/>
          <w:lang w:val="uk-UA"/>
        </w:rPr>
      </w:pPr>
    </w:p>
    <w:p w14:paraId="6E5B1D4B" w14:textId="77777777" w:rsidR="00576260" w:rsidRPr="00B91AA1" w:rsidRDefault="00576260" w:rsidP="009E018D">
      <w:pPr>
        <w:spacing w:line="360" w:lineRule="auto"/>
        <w:ind w:firstLine="708"/>
        <w:jc w:val="both"/>
        <w:rPr>
          <w:b/>
          <w:bCs/>
          <w:lang w:val="uk-UA"/>
        </w:rPr>
      </w:pPr>
      <w:r w:rsidRPr="00B91AA1">
        <w:rPr>
          <w:b/>
          <w:bCs/>
          <w:lang w:val="uk-UA"/>
        </w:rPr>
        <w:t>12. Запобігання корупції</w:t>
      </w:r>
    </w:p>
    <w:p w14:paraId="387FB271" w14:textId="76EF2BC9" w:rsidR="00576260" w:rsidRPr="00B91AA1" w:rsidRDefault="00576260" w:rsidP="009E018D">
      <w:pPr>
        <w:spacing w:line="360" w:lineRule="auto"/>
        <w:ind w:firstLine="708"/>
        <w:jc w:val="both"/>
        <w:rPr>
          <w:lang w:val="uk-UA"/>
        </w:rPr>
      </w:pPr>
      <w:bookmarkStart w:id="7" w:name="n103"/>
      <w:bookmarkStart w:id="8" w:name="n104"/>
      <w:bookmarkEnd w:id="7"/>
      <w:bookmarkEnd w:id="8"/>
      <w:r w:rsidRPr="00B91AA1">
        <w:rPr>
          <w:lang w:val="uk-UA"/>
        </w:rPr>
        <w:t xml:space="preserve">У </w:t>
      </w:r>
      <w:proofErr w:type="spellStart"/>
      <w:r w:rsidR="002363A4">
        <w:rPr>
          <w:lang w:val="uk-UA"/>
        </w:rPr>
        <w:t>проєкт</w:t>
      </w:r>
      <w:r w:rsidRPr="00B91AA1">
        <w:rPr>
          <w:lang w:val="uk-UA"/>
        </w:rPr>
        <w:t>і</w:t>
      </w:r>
      <w:proofErr w:type="spellEnd"/>
      <w:r w:rsidRPr="00B91AA1">
        <w:rPr>
          <w:lang w:val="uk-UA"/>
        </w:rPr>
        <w:t xml:space="preserve"> </w:t>
      </w:r>
      <w:r w:rsidR="00E65B75" w:rsidRPr="00B91AA1">
        <w:rPr>
          <w:lang w:val="uk-UA"/>
        </w:rPr>
        <w:t>постанови</w:t>
      </w:r>
      <w:r w:rsidRPr="00B91AA1">
        <w:rPr>
          <w:lang w:val="uk-UA"/>
        </w:rPr>
        <w:t xml:space="preserve"> відсутні </w:t>
      </w:r>
      <w:r w:rsidR="00866FF0" w:rsidRPr="00B91AA1">
        <w:rPr>
          <w:lang w:val="uk-UA"/>
        </w:rPr>
        <w:t>положення</w:t>
      </w:r>
      <w:r w:rsidR="00C55F5E" w:rsidRPr="00B91AA1">
        <w:rPr>
          <w:lang w:val="uk-UA"/>
        </w:rPr>
        <w:t>/правила і процедури</w:t>
      </w:r>
      <w:r w:rsidRPr="00B91AA1">
        <w:rPr>
          <w:lang w:val="uk-UA"/>
        </w:rPr>
        <w:t>, що можуть містити ризики вчинення корупційних правопорушень</w:t>
      </w:r>
      <w:r w:rsidR="00C55F5E" w:rsidRPr="00B91AA1">
        <w:rPr>
          <w:lang w:val="uk-UA"/>
        </w:rPr>
        <w:t xml:space="preserve"> та правопорушень, пов’язаних з корупцією</w:t>
      </w:r>
      <w:r w:rsidRPr="00B91AA1">
        <w:rPr>
          <w:lang w:val="uk-UA"/>
        </w:rPr>
        <w:t>.</w:t>
      </w:r>
    </w:p>
    <w:p w14:paraId="15ED7DFB" w14:textId="77777777" w:rsidR="002477B2" w:rsidRPr="00B91AA1" w:rsidRDefault="002477B2" w:rsidP="009E018D">
      <w:pPr>
        <w:pStyle w:val="3"/>
        <w:spacing w:line="360" w:lineRule="auto"/>
        <w:rPr>
          <w:b/>
          <w:szCs w:val="28"/>
        </w:rPr>
      </w:pPr>
    </w:p>
    <w:p w14:paraId="5306D35C" w14:textId="77777777" w:rsidR="009179D4" w:rsidRPr="00B91AA1" w:rsidRDefault="009179D4" w:rsidP="009E018D">
      <w:pPr>
        <w:pStyle w:val="3"/>
        <w:spacing w:line="360" w:lineRule="auto"/>
        <w:ind w:firstLine="708"/>
        <w:rPr>
          <w:b/>
          <w:szCs w:val="28"/>
        </w:rPr>
      </w:pPr>
      <w:r w:rsidRPr="00B91AA1">
        <w:rPr>
          <w:b/>
          <w:szCs w:val="28"/>
        </w:rPr>
        <w:t>1</w:t>
      </w:r>
      <w:r w:rsidR="00344B37" w:rsidRPr="00B91AA1">
        <w:rPr>
          <w:b/>
          <w:szCs w:val="28"/>
        </w:rPr>
        <w:t>3</w:t>
      </w:r>
      <w:r w:rsidR="006C5B98" w:rsidRPr="00B91AA1">
        <w:rPr>
          <w:b/>
          <w:szCs w:val="28"/>
        </w:rPr>
        <w:t>. Прогноз результатів</w:t>
      </w:r>
    </w:p>
    <w:p w14:paraId="47E74DB5" w14:textId="77777777" w:rsidR="00441C8E" w:rsidRPr="00B91AA1" w:rsidRDefault="00337DC4" w:rsidP="009E018D">
      <w:pPr>
        <w:spacing w:line="360" w:lineRule="auto"/>
        <w:ind w:firstLine="708"/>
        <w:jc w:val="both"/>
        <w:rPr>
          <w:bCs/>
          <w:iCs/>
          <w:lang w:val="uk-UA"/>
        </w:rPr>
      </w:pPr>
      <w:r w:rsidRPr="00B91AA1">
        <w:rPr>
          <w:lang w:val="uk-UA"/>
        </w:rPr>
        <w:t xml:space="preserve">Прийняття </w:t>
      </w:r>
      <w:r w:rsidR="00E65B75" w:rsidRPr="00B91AA1">
        <w:rPr>
          <w:lang w:val="uk-UA"/>
        </w:rPr>
        <w:t>постанови</w:t>
      </w:r>
      <w:r w:rsidR="00231107" w:rsidRPr="00B91AA1">
        <w:rPr>
          <w:lang w:val="uk-UA"/>
        </w:rPr>
        <w:t xml:space="preserve"> да</w:t>
      </w:r>
      <w:r w:rsidR="002C7955" w:rsidRPr="00B91AA1">
        <w:rPr>
          <w:lang w:val="uk-UA"/>
        </w:rPr>
        <w:t>сть</w:t>
      </w:r>
      <w:r w:rsidR="009179D4" w:rsidRPr="00B91AA1">
        <w:rPr>
          <w:lang w:val="uk-UA"/>
        </w:rPr>
        <w:t xml:space="preserve"> можливість</w:t>
      </w:r>
      <w:r w:rsidR="00231107" w:rsidRPr="00B91AA1">
        <w:rPr>
          <w:lang w:val="uk-UA"/>
        </w:rPr>
        <w:t xml:space="preserve"> </w:t>
      </w:r>
      <w:r w:rsidR="002C6798" w:rsidRPr="00B91AA1">
        <w:rPr>
          <w:lang w:val="uk-UA"/>
        </w:rPr>
        <w:t>Державній інспекції енергетичного нагляду України</w:t>
      </w:r>
      <w:r w:rsidR="009179D4" w:rsidRPr="00B91AA1">
        <w:rPr>
          <w:lang w:val="uk-UA"/>
        </w:rPr>
        <w:t xml:space="preserve"> забезпечити плановість та прозорість заходів державного </w:t>
      </w:r>
      <w:r w:rsidR="00441C8E" w:rsidRPr="00B91AA1">
        <w:rPr>
          <w:lang w:val="uk-UA"/>
        </w:rPr>
        <w:t>нагляду (</w:t>
      </w:r>
      <w:r w:rsidR="009179D4" w:rsidRPr="00B91AA1">
        <w:rPr>
          <w:lang w:val="uk-UA"/>
        </w:rPr>
        <w:t>контролю</w:t>
      </w:r>
      <w:r w:rsidR="00441C8E" w:rsidRPr="00B91AA1">
        <w:rPr>
          <w:lang w:val="uk-UA"/>
        </w:rPr>
        <w:t>)</w:t>
      </w:r>
      <w:r w:rsidR="009179D4" w:rsidRPr="00B91AA1">
        <w:rPr>
          <w:lang w:val="uk-UA"/>
        </w:rPr>
        <w:t xml:space="preserve"> та єдин</w:t>
      </w:r>
      <w:r w:rsidR="006C5B98" w:rsidRPr="00B91AA1">
        <w:rPr>
          <w:lang w:val="uk-UA"/>
        </w:rPr>
        <w:t>ий</w:t>
      </w:r>
      <w:r w:rsidR="009179D4" w:rsidRPr="00B91AA1">
        <w:rPr>
          <w:lang w:val="uk-UA"/>
        </w:rPr>
        <w:t xml:space="preserve"> підх</w:t>
      </w:r>
      <w:r w:rsidR="006C5B98" w:rsidRPr="00B91AA1">
        <w:rPr>
          <w:lang w:val="uk-UA"/>
        </w:rPr>
        <w:t>і</w:t>
      </w:r>
      <w:r w:rsidR="009179D4" w:rsidRPr="00B91AA1">
        <w:rPr>
          <w:lang w:val="uk-UA"/>
        </w:rPr>
        <w:t>д до їх планування, підвищення рівня відповідальності органів державного нагляду</w:t>
      </w:r>
      <w:r w:rsidR="00441C8E" w:rsidRPr="00B91AA1">
        <w:rPr>
          <w:lang w:val="uk-UA"/>
        </w:rPr>
        <w:t xml:space="preserve"> (контролю)</w:t>
      </w:r>
      <w:r w:rsidR="009179D4" w:rsidRPr="00B91AA1">
        <w:rPr>
          <w:lang w:val="uk-UA"/>
        </w:rPr>
        <w:t xml:space="preserve">, сприятиме встановленню періодичності </w:t>
      </w:r>
      <w:r w:rsidR="006C5B98" w:rsidRPr="00B91AA1">
        <w:rPr>
          <w:lang w:val="uk-UA"/>
        </w:rPr>
        <w:t xml:space="preserve">заходів </w:t>
      </w:r>
      <w:r w:rsidR="007C157C" w:rsidRPr="00B91AA1">
        <w:rPr>
          <w:lang w:val="uk-UA"/>
        </w:rPr>
        <w:t>у</w:t>
      </w:r>
      <w:r w:rsidR="009179D4" w:rsidRPr="00B91AA1">
        <w:rPr>
          <w:lang w:val="uk-UA"/>
        </w:rPr>
        <w:t xml:space="preserve"> залежності від критеріїв розподілу суб’єктів господарювання за ступенями ризику</w:t>
      </w:r>
      <w:r w:rsidR="00C55F5E" w:rsidRPr="00B91AA1">
        <w:rPr>
          <w:lang w:val="uk-UA"/>
        </w:rPr>
        <w:t>, створити умови для подальшого розвитку бізнесу</w:t>
      </w:r>
      <w:r w:rsidR="009179D4" w:rsidRPr="00B91AA1">
        <w:rPr>
          <w:lang w:val="uk-UA"/>
        </w:rPr>
        <w:t>.</w:t>
      </w:r>
      <w:r w:rsidR="00C55F5E" w:rsidRPr="00B91AA1">
        <w:rPr>
          <w:lang w:val="uk-UA"/>
        </w:rPr>
        <w:t xml:space="preserve"> Це, у свою чергу, сприятиме </w:t>
      </w:r>
      <w:r w:rsidR="00C55F5E" w:rsidRPr="00B91AA1">
        <w:rPr>
          <w:iCs/>
          <w:lang w:val="uk-UA"/>
        </w:rPr>
        <w:t>створенню обставин, що позитивно впливають на формування сучасного ринкового середовища</w:t>
      </w:r>
      <w:r w:rsidR="00C55F5E" w:rsidRPr="00B91AA1">
        <w:rPr>
          <w:lang w:val="uk-UA"/>
        </w:rPr>
        <w:t xml:space="preserve"> </w:t>
      </w:r>
      <w:r w:rsidR="00091A09" w:rsidRPr="00B91AA1">
        <w:rPr>
          <w:iCs/>
          <w:lang w:val="uk-UA"/>
        </w:rPr>
        <w:t>у сферах</w:t>
      </w:r>
      <w:r w:rsidR="00C55F5E" w:rsidRPr="00B91AA1">
        <w:rPr>
          <w:bCs/>
          <w:iCs/>
          <w:lang w:val="uk-UA"/>
        </w:rPr>
        <w:t xml:space="preserve"> електроенергетики та теплопостачання та забезпеченню надійної роботи ОЕС України.</w:t>
      </w:r>
    </w:p>
    <w:p w14:paraId="0F9CF811" w14:textId="77777777" w:rsidR="009E018D" w:rsidRPr="00B91AA1" w:rsidRDefault="009E018D" w:rsidP="009E018D">
      <w:pPr>
        <w:spacing w:line="360" w:lineRule="auto"/>
        <w:jc w:val="both"/>
        <w:rPr>
          <w:b/>
          <w:lang w:val="uk-UA"/>
        </w:rPr>
      </w:pPr>
    </w:p>
    <w:p w14:paraId="13E55974" w14:textId="77777777" w:rsidR="00D85DE7" w:rsidRDefault="00D85DE7" w:rsidP="009E018D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Голова </w:t>
      </w:r>
    </w:p>
    <w:p w14:paraId="60A5703C" w14:textId="77777777" w:rsidR="00D85DE7" w:rsidRPr="00D85DE7" w:rsidRDefault="00D85DE7" w:rsidP="009E018D">
      <w:pPr>
        <w:spacing w:line="360" w:lineRule="auto"/>
        <w:jc w:val="both"/>
        <w:rPr>
          <w:b/>
          <w:bCs/>
          <w:lang w:val="uk-UA"/>
        </w:rPr>
      </w:pPr>
      <w:r w:rsidRPr="00D85DE7">
        <w:rPr>
          <w:b/>
          <w:bCs/>
          <w:lang w:val="uk-UA"/>
        </w:rPr>
        <w:t>Державної інспекції</w:t>
      </w:r>
    </w:p>
    <w:p w14:paraId="45CF975F" w14:textId="77777777" w:rsidR="009179D4" w:rsidRPr="00B91AA1" w:rsidRDefault="00D85DE7" w:rsidP="009E018D">
      <w:pPr>
        <w:spacing w:line="360" w:lineRule="auto"/>
        <w:jc w:val="both"/>
        <w:rPr>
          <w:b/>
          <w:lang w:val="uk-UA"/>
        </w:rPr>
      </w:pPr>
      <w:r w:rsidRPr="00D85DE7">
        <w:rPr>
          <w:b/>
          <w:bCs/>
          <w:lang w:val="uk-UA"/>
        </w:rPr>
        <w:t xml:space="preserve"> енергетичного нагляду України</w:t>
      </w:r>
      <w:r w:rsidR="00BA4462" w:rsidRPr="00D85DE7">
        <w:rPr>
          <w:b/>
          <w:bCs/>
          <w:lang w:val="uk-UA"/>
        </w:rPr>
        <w:tab/>
      </w:r>
      <w:r w:rsidR="00BA4462">
        <w:rPr>
          <w:b/>
          <w:lang w:val="uk-UA"/>
        </w:rPr>
        <w:tab/>
      </w:r>
      <w:r w:rsidR="00BA4462">
        <w:rPr>
          <w:b/>
          <w:lang w:val="uk-UA"/>
        </w:rPr>
        <w:tab/>
      </w:r>
      <w:r w:rsidR="00BA4462">
        <w:rPr>
          <w:b/>
          <w:lang w:val="uk-UA"/>
        </w:rPr>
        <w:tab/>
      </w:r>
      <w:r w:rsidR="00BA4462">
        <w:rPr>
          <w:b/>
          <w:lang w:val="uk-UA"/>
        </w:rPr>
        <w:tab/>
      </w:r>
      <w:r>
        <w:rPr>
          <w:b/>
          <w:lang w:val="uk-UA"/>
        </w:rPr>
        <w:t>М</w:t>
      </w:r>
      <w:r w:rsidR="00D21041" w:rsidRPr="00B91AA1">
        <w:rPr>
          <w:b/>
          <w:lang w:val="uk-UA"/>
        </w:rPr>
        <w:t xml:space="preserve">. </w:t>
      </w:r>
      <w:r>
        <w:rPr>
          <w:b/>
          <w:lang w:val="uk-UA"/>
        </w:rPr>
        <w:t>Малашкін</w:t>
      </w:r>
    </w:p>
    <w:p w14:paraId="47EEEEBA" w14:textId="77777777" w:rsidR="00343347" w:rsidRPr="00B91AA1" w:rsidRDefault="00343347" w:rsidP="009E018D">
      <w:pPr>
        <w:spacing w:line="360" w:lineRule="auto"/>
        <w:jc w:val="both"/>
        <w:rPr>
          <w:lang w:val="uk-UA"/>
        </w:rPr>
      </w:pPr>
    </w:p>
    <w:p w14:paraId="34493FE5" w14:textId="77777777" w:rsidR="00076631" w:rsidRPr="00B91AA1" w:rsidRDefault="00076631" w:rsidP="009E018D">
      <w:pPr>
        <w:spacing w:line="360" w:lineRule="auto"/>
        <w:jc w:val="both"/>
        <w:rPr>
          <w:lang w:val="uk-UA"/>
        </w:rPr>
      </w:pPr>
      <w:r w:rsidRPr="00B91AA1">
        <w:rPr>
          <w:lang w:val="uk-UA"/>
        </w:rPr>
        <w:t>« ____ » _____________ 201</w:t>
      </w:r>
      <w:r w:rsidR="00D85DE7">
        <w:rPr>
          <w:lang w:val="uk-UA"/>
        </w:rPr>
        <w:t>9</w:t>
      </w:r>
      <w:r w:rsidRPr="00B91AA1">
        <w:rPr>
          <w:lang w:val="uk-UA"/>
        </w:rPr>
        <w:t xml:space="preserve"> року</w:t>
      </w:r>
    </w:p>
    <w:p w14:paraId="7925045D" w14:textId="77777777" w:rsidR="002E4E0B" w:rsidRPr="00B91AA1" w:rsidRDefault="002E4E0B" w:rsidP="009E018D">
      <w:pPr>
        <w:shd w:val="clear" w:color="auto" w:fill="FFFFFF"/>
        <w:spacing w:line="360" w:lineRule="auto"/>
        <w:ind w:left="4253"/>
        <w:textAlignment w:val="baseline"/>
        <w:rPr>
          <w:b/>
          <w:lang w:val="uk-UA"/>
        </w:rPr>
        <w:sectPr w:rsidR="002E4E0B" w:rsidRPr="00B91AA1" w:rsidSect="003131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14:paraId="1C254B43" w14:textId="77777777" w:rsidR="00794802" w:rsidRPr="00B91AA1" w:rsidRDefault="00F11F13" w:rsidP="00E96192">
      <w:pPr>
        <w:shd w:val="clear" w:color="auto" w:fill="FFFFFF"/>
        <w:spacing w:line="264" w:lineRule="auto"/>
        <w:ind w:left="3686"/>
        <w:textAlignment w:val="baseline"/>
        <w:rPr>
          <w:sz w:val="24"/>
          <w:lang w:val="uk-UA"/>
        </w:rPr>
      </w:pPr>
      <w:r w:rsidRPr="00B91AA1">
        <w:rPr>
          <w:sz w:val="24"/>
          <w:lang w:val="uk-UA"/>
        </w:rPr>
        <w:lastRenderedPageBreak/>
        <w:t xml:space="preserve">Додаток </w:t>
      </w:r>
    </w:p>
    <w:p w14:paraId="5DC51D55" w14:textId="77777777" w:rsidR="00713880" w:rsidRPr="00B91AA1" w:rsidRDefault="00F11F13" w:rsidP="00E96192">
      <w:pPr>
        <w:shd w:val="clear" w:color="auto" w:fill="FFFFFF"/>
        <w:spacing w:line="264" w:lineRule="auto"/>
        <w:ind w:left="3686"/>
        <w:textAlignment w:val="baseline"/>
        <w:rPr>
          <w:sz w:val="24"/>
          <w:lang w:val="uk-UA"/>
        </w:rPr>
      </w:pPr>
      <w:r w:rsidRPr="00B91AA1">
        <w:rPr>
          <w:sz w:val="24"/>
          <w:lang w:val="uk-UA"/>
        </w:rPr>
        <w:t xml:space="preserve">до </w:t>
      </w:r>
      <w:r w:rsidR="00713880" w:rsidRPr="00B91AA1">
        <w:rPr>
          <w:sz w:val="24"/>
          <w:lang w:val="uk-UA"/>
        </w:rPr>
        <w:t>п</w:t>
      </w:r>
      <w:r w:rsidRPr="00B91AA1">
        <w:rPr>
          <w:sz w:val="24"/>
          <w:lang w:val="uk-UA"/>
        </w:rPr>
        <w:t>ояснювальної записки</w:t>
      </w:r>
      <w:r w:rsidR="002E4E0B" w:rsidRPr="00B91AA1">
        <w:rPr>
          <w:sz w:val="24"/>
          <w:lang w:val="uk-UA"/>
        </w:rPr>
        <w:t xml:space="preserve"> </w:t>
      </w:r>
    </w:p>
    <w:p w14:paraId="6E033778" w14:textId="55C773D5" w:rsidR="002E4E0B" w:rsidRPr="00B91AA1" w:rsidRDefault="00F10FDF" w:rsidP="00E96192">
      <w:pPr>
        <w:autoSpaceDE w:val="0"/>
        <w:autoSpaceDN w:val="0"/>
        <w:adjustRightInd w:val="0"/>
        <w:spacing w:line="264" w:lineRule="auto"/>
        <w:ind w:left="3686" w:right="-427"/>
        <w:rPr>
          <w:sz w:val="24"/>
          <w:lang w:val="uk-UA"/>
        </w:rPr>
      </w:pPr>
      <w:r w:rsidRPr="00B91AA1">
        <w:rPr>
          <w:sz w:val="24"/>
          <w:lang w:val="uk-UA"/>
        </w:rPr>
        <w:t xml:space="preserve">до </w:t>
      </w:r>
      <w:proofErr w:type="spellStart"/>
      <w:r w:rsidR="002363A4">
        <w:rPr>
          <w:sz w:val="24"/>
          <w:lang w:val="uk-UA"/>
        </w:rPr>
        <w:t>проєкт</w:t>
      </w:r>
      <w:r w:rsidR="002E4E0B" w:rsidRPr="00B91AA1">
        <w:rPr>
          <w:sz w:val="24"/>
          <w:lang w:val="uk-UA"/>
        </w:rPr>
        <w:t>у</w:t>
      </w:r>
      <w:proofErr w:type="spellEnd"/>
      <w:r w:rsidR="002E4E0B" w:rsidRPr="00B91AA1">
        <w:rPr>
          <w:sz w:val="24"/>
          <w:lang w:val="uk-UA"/>
        </w:rPr>
        <w:t xml:space="preserve"> постанови Кабінету Міністрів України</w:t>
      </w:r>
    </w:p>
    <w:p w14:paraId="0C73DE86" w14:textId="77777777" w:rsidR="002E4E0B" w:rsidRPr="00B91AA1" w:rsidRDefault="002E4E0B" w:rsidP="00E96192">
      <w:pPr>
        <w:spacing w:line="264" w:lineRule="auto"/>
        <w:ind w:left="3686"/>
        <w:rPr>
          <w:lang w:val="uk-UA"/>
        </w:rPr>
      </w:pPr>
      <w:r w:rsidRPr="00B91AA1">
        <w:rPr>
          <w:sz w:val="24"/>
          <w:lang w:val="uk-UA"/>
        </w:rPr>
        <w:t>«</w:t>
      </w:r>
      <w:r w:rsidRPr="00B91AA1">
        <w:rPr>
          <w:bCs/>
          <w:sz w:val="24"/>
          <w:lang w:val="uk-UA"/>
        </w:rPr>
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заходів державного нагляду (контролю) Державною інспекцією енергетичного нагляду </w:t>
      </w:r>
      <w:r w:rsidRPr="00B91AA1">
        <w:rPr>
          <w:sz w:val="24"/>
          <w:lang w:val="uk-UA"/>
        </w:rPr>
        <w:t>та визнання такими, що втратили чинність, деяких постанов Кабінету Міністрів України»</w:t>
      </w:r>
    </w:p>
    <w:p w14:paraId="542C6BC2" w14:textId="77777777" w:rsidR="002E4E0B" w:rsidRPr="00313191" w:rsidRDefault="002E4E0B" w:rsidP="00E96192">
      <w:pPr>
        <w:shd w:val="clear" w:color="auto" w:fill="FFFFFF"/>
        <w:spacing w:line="276" w:lineRule="auto"/>
        <w:ind w:left="5954"/>
        <w:jc w:val="both"/>
        <w:textAlignment w:val="baseline"/>
        <w:rPr>
          <w:sz w:val="24"/>
          <w:szCs w:val="24"/>
          <w:lang w:val="uk-UA"/>
        </w:rPr>
      </w:pPr>
    </w:p>
    <w:p w14:paraId="472ECA57" w14:textId="77777777" w:rsidR="00713880" w:rsidRPr="00B91AA1" w:rsidRDefault="00713880" w:rsidP="00E96192">
      <w:pPr>
        <w:shd w:val="clear" w:color="auto" w:fill="FFFFFF"/>
        <w:spacing w:line="276" w:lineRule="auto"/>
        <w:jc w:val="center"/>
        <w:textAlignment w:val="baseline"/>
        <w:rPr>
          <w:b/>
          <w:lang w:val="uk-UA"/>
        </w:rPr>
      </w:pPr>
      <w:r w:rsidRPr="00B91AA1">
        <w:rPr>
          <w:b/>
          <w:lang w:val="uk-UA"/>
        </w:rPr>
        <w:t>ПРОГНОЗ ВПЛИВУ</w:t>
      </w:r>
    </w:p>
    <w:p w14:paraId="691555C7" w14:textId="77777777" w:rsidR="008F3AB0" w:rsidRPr="00B91AA1" w:rsidRDefault="00B664D1" w:rsidP="00E96192">
      <w:pPr>
        <w:shd w:val="clear" w:color="auto" w:fill="FFFFFF"/>
        <w:spacing w:line="276" w:lineRule="auto"/>
        <w:jc w:val="center"/>
        <w:textAlignment w:val="baseline"/>
        <w:rPr>
          <w:b/>
          <w:lang w:val="uk-UA"/>
        </w:rPr>
      </w:pPr>
      <w:r w:rsidRPr="00B91AA1">
        <w:rPr>
          <w:b/>
          <w:lang w:val="uk-UA"/>
        </w:rPr>
        <w:t>р</w:t>
      </w:r>
      <w:r w:rsidR="00713880" w:rsidRPr="00B91AA1">
        <w:rPr>
          <w:b/>
          <w:lang w:val="uk-UA"/>
        </w:rPr>
        <w:t xml:space="preserve">еалізації акта </w:t>
      </w:r>
      <w:r w:rsidR="008F3AB0" w:rsidRPr="00B91AA1">
        <w:rPr>
          <w:b/>
          <w:lang w:val="uk-UA"/>
        </w:rPr>
        <w:t>на ключові інтереси заінтересованих сторін</w:t>
      </w:r>
    </w:p>
    <w:p w14:paraId="72889BE4" w14:textId="06F18831" w:rsidR="00292DE4" w:rsidRPr="00B91AA1" w:rsidRDefault="00315C6E" w:rsidP="006C6033">
      <w:pPr>
        <w:numPr>
          <w:ilvl w:val="0"/>
          <w:numId w:val="4"/>
        </w:numPr>
        <w:ind w:left="-426" w:firstLine="710"/>
        <w:jc w:val="both"/>
        <w:rPr>
          <w:bCs/>
          <w:iCs/>
          <w:lang w:val="uk-UA"/>
        </w:rPr>
      </w:pPr>
      <w:r w:rsidRPr="00B91AA1">
        <w:rPr>
          <w:lang w:val="uk-UA"/>
        </w:rPr>
        <w:t xml:space="preserve">Реалізація </w:t>
      </w:r>
      <w:proofErr w:type="spellStart"/>
      <w:r w:rsidR="002363A4">
        <w:rPr>
          <w:lang w:val="uk-UA"/>
        </w:rPr>
        <w:t>проєкт</w:t>
      </w:r>
      <w:r w:rsidRPr="00B91AA1">
        <w:rPr>
          <w:lang w:val="uk-UA"/>
        </w:rPr>
        <w:t>у</w:t>
      </w:r>
      <w:proofErr w:type="spellEnd"/>
      <w:r w:rsidRPr="00B91AA1">
        <w:rPr>
          <w:lang w:val="uk-UA"/>
        </w:rPr>
        <w:t xml:space="preserve"> постанови дозволить </w:t>
      </w:r>
      <w:r w:rsidR="00292DE4" w:rsidRPr="00B91AA1">
        <w:rPr>
          <w:lang w:val="uk-UA"/>
        </w:rPr>
        <w:t xml:space="preserve">плановість та прозорість заходів державного нагляду (контролю) та єдиний підхід до їх планування, підвищення рівня відповідальності органів державного нагляду (контролю), сприятиме встановленню періодичності заходів у залежності від критеріїв розподілу суб’єктів господарювання за ступенями ризику, створити умови для подальшого розвитку бізнесу. Це, у свою чергу, сприятиме </w:t>
      </w:r>
      <w:r w:rsidR="00292DE4" w:rsidRPr="00B91AA1">
        <w:rPr>
          <w:iCs/>
          <w:lang w:val="uk-UA"/>
        </w:rPr>
        <w:t>створенню обставин, що позитивно впливають на формування сучасного ринкового середовища</w:t>
      </w:r>
      <w:r w:rsidR="00292DE4" w:rsidRPr="00B91AA1">
        <w:rPr>
          <w:lang w:val="uk-UA"/>
        </w:rPr>
        <w:t xml:space="preserve"> </w:t>
      </w:r>
      <w:r w:rsidR="00292DE4" w:rsidRPr="00B91AA1">
        <w:rPr>
          <w:iCs/>
          <w:lang w:val="uk-UA"/>
        </w:rPr>
        <w:t>у сферах</w:t>
      </w:r>
      <w:r w:rsidR="00292DE4" w:rsidRPr="00B91AA1">
        <w:rPr>
          <w:bCs/>
          <w:iCs/>
          <w:lang w:val="uk-UA"/>
        </w:rPr>
        <w:t xml:space="preserve"> електроенергетики та теплопостачання та забезпеченню надійної роботи ОЕС України.</w:t>
      </w:r>
    </w:p>
    <w:p w14:paraId="7DD1698B" w14:textId="77777777" w:rsidR="00315C6E" w:rsidRPr="00B91AA1" w:rsidRDefault="00315C6E" w:rsidP="00292DE4">
      <w:pPr>
        <w:pStyle w:val="ad"/>
        <w:numPr>
          <w:ilvl w:val="0"/>
          <w:numId w:val="4"/>
        </w:numPr>
        <w:tabs>
          <w:tab w:val="left" w:pos="993"/>
        </w:tabs>
        <w:spacing w:after="0"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B91AA1">
        <w:rPr>
          <w:rFonts w:ascii="Times New Roman" w:hAnsi="Times New Roman"/>
          <w:sz w:val="28"/>
          <w:szCs w:val="28"/>
        </w:rPr>
        <w:t>Вплив на ключові інтереси заінтересованих сторін:</w:t>
      </w: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1843"/>
        <w:gridCol w:w="2522"/>
      </w:tblGrid>
      <w:tr w:rsidR="005C630B" w:rsidRPr="00B91AA1" w14:paraId="77CB4B30" w14:textId="77777777" w:rsidTr="006C6033">
        <w:tc>
          <w:tcPr>
            <w:tcW w:w="1560" w:type="dxa"/>
            <w:vMerge w:val="restart"/>
            <w:shd w:val="clear" w:color="auto" w:fill="auto"/>
            <w:vAlign w:val="center"/>
          </w:tcPr>
          <w:p w14:paraId="65CAF31A" w14:textId="77777777" w:rsidR="005C630B" w:rsidRPr="00B91AA1" w:rsidRDefault="005C630B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proofErr w:type="spellStart"/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Заінте-ресована</w:t>
            </w:r>
            <w:proofErr w:type="spellEnd"/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 сторона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5DD2528" w14:textId="77777777" w:rsidR="005C630B" w:rsidRPr="00B91AA1" w:rsidRDefault="005C630B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Ключовий інтерес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FE73AE8" w14:textId="77777777" w:rsidR="005C630B" w:rsidRPr="00B91AA1" w:rsidRDefault="005C630B" w:rsidP="006C6033">
            <w:pPr>
              <w:ind w:left="-250" w:right="-250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Очікуваний </w:t>
            </w:r>
            <w:r w:rsidR="006C6033" w:rsidRPr="00B91AA1">
              <w:rPr>
                <w:rFonts w:eastAsia="Calibri"/>
                <w:sz w:val="24"/>
                <w:szCs w:val="24"/>
                <w:lang w:val="uk-UA" w:eastAsia="en-US"/>
              </w:rPr>
              <w:br/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(позитивний чи негативний) </w:t>
            </w:r>
            <w:r w:rsidR="006C6033" w:rsidRPr="00B91AA1">
              <w:rPr>
                <w:rFonts w:eastAsia="Calibri"/>
                <w:sz w:val="24"/>
                <w:szCs w:val="24"/>
                <w:lang w:val="uk-UA" w:eastAsia="en-US"/>
              </w:rPr>
              <w:br/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вплив на ключовий інтерес 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br/>
              <w:t xml:space="preserve">із зазначенням передбачуваної </w:t>
            </w:r>
            <w:r w:rsidRPr="00B91AA1">
              <w:rPr>
                <w:rFonts w:eastAsia="Calibri"/>
                <w:spacing w:val="-6"/>
                <w:sz w:val="24"/>
                <w:szCs w:val="24"/>
                <w:lang w:val="uk-UA" w:eastAsia="en-US"/>
              </w:rPr>
              <w:t xml:space="preserve">динаміки змін основних показників </w:t>
            </w:r>
            <w:r w:rsidR="006C6033" w:rsidRPr="00B91AA1">
              <w:rPr>
                <w:rFonts w:eastAsia="Calibri"/>
                <w:spacing w:val="-6"/>
                <w:sz w:val="24"/>
                <w:szCs w:val="24"/>
                <w:lang w:val="uk-UA" w:eastAsia="en-US"/>
              </w:rPr>
              <w:br/>
            </w:r>
            <w:r w:rsidRPr="00B91AA1">
              <w:rPr>
                <w:rFonts w:eastAsia="Calibri"/>
                <w:spacing w:val="-6"/>
                <w:sz w:val="24"/>
                <w:szCs w:val="24"/>
                <w:lang w:val="uk-UA" w:eastAsia="en-US"/>
              </w:rPr>
              <w:t>(у числовому або якісному вимірі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 w14:paraId="64CBCC24" w14:textId="77777777" w:rsidR="005C630B" w:rsidRPr="00B91AA1" w:rsidRDefault="005C630B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Пояснення </w:t>
            </w:r>
          </w:p>
          <w:p w14:paraId="796376A3" w14:textId="77777777" w:rsidR="005C630B" w:rsidRPr="00B91AA1" w:rsidRDefault="005C630B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(чому саме реалізація акта призведе до очікуваного впливу)</w:t>
            </w:r>
          </w:p>
        </w:tc>
      </w:tr>
      <w:tr w:rsidR="005C630B" w:rsidRPr="00B91AA1" w14:paraId="299A9E52" w14:textId="77777777" w:rsidTr="006C6033">
        <w:tc>
          <w:tcPr>
            <w:tcW w:w="1560" w:type="dxa"/>
            <w:vMerge/>
            <w:shd w:val="clear" w:color="auto" w:fill="auto"/>
          </w:tcPr>
          <w:p w14:paraId="4D1079EE" w14:textId="77777777" w:rsidR="005C630B" w:rsidRPr="00B91AA1" w:rsidRDefault="005C630B" w:rsidP="00E9619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C22854B" w14:textId="77777777" w:rsidR="005C630B" w:rsidRPr="00B91AA1" w:rsidRDefault="005C630B" w:rsidP="00E9619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603BF4" w14:textId="77777777" w:rsidR="005C630B" w:rsidRPr="00B91AA1" w:rsidRDefault="005C630B" w:rsidP="00E96192">
            <w:pPr>
              <w:ind w:left="-107" w:right="-137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Коротко-строковий</w:t>
            </w:r>
          </w:p>
          <w:p w14:paraId="3DE8D1D6" w14:textId="77777777" w:rsidR="005C630B" w:rsidRPr="00B91AA1" w:rsidRDefault="005C630B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вплив 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br/>
              <w:t xml:space="preserve">(до року) </w:t>
            </w:r>
          </w:p>
        </w:tc>
        <w:tc>
          <w:tcPr>
            <w:tcW w:w="1843" w:type="dxa"/>
            <w:shd w:val="clear" w:color="auto" w:fill="auto"/>
          </w:tcPr>
          <w:p w14:paraId="27C6E28C" w14:textId="77777777" w:rsidR="005C630B" w:rsidRPr="00B91AA1" w:rsidRDefault="005C630B" w:rsidP="00E96192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pacing w:val="-4"/>
                <w:sz w:val="24"/>
                <w:szCs w:val="24"/>
                <w:lang w:val="uk-UA" w:eastAsia="en-US"/>
              </w:rPr>
              <w:t>Середньо-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строковий вплив </w:t>
            </w:r>
            <w:r w:rsidR="00BE31F2" w:rsidRPr="00B91AA1">
              <w:rPr>
                <w:rFonts w:eastAsia="Calibri"/>
                <w:sz w:val="24"/>
                <w:szCs w:val="24"/>
                <w:lang w:val="uk-UA" w:eastAsia="en-US"/>
              </w:rPr>
              <w:br/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(більше року)</w:t>
            </w:r>
          </w:p>
        </w:tc>
        <w:tc>
          <w:tcPr>
            <w:tcW w:w="2522" w:type="dxa"/>
            <w:vMerge/>
            <w:shd w:val="clear" w:color="auto" w:fill="auto"/>
          </w:tcPr>
          <w:p w14:paraId="13EDEC9A" w14:textId="77777777" w:rsidR="005C630B" w:rsidRPr="00B91AA1" w:rsidRDefault="005C630B" w:rsidP="00E9619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BE31F2" w:rsidRPr="00B91AA1" w14:paraId="37E7153E" w14:textId="77777777" w:rsidTr="006C6033">
        <w:tc>
          <w:tcPr>
            <w:tcW w:w="1560" w:type="dxa"/>
            <w:shd w:val="clear" w:color="auto" w:fill="auto"/>
          </w:tcPr>
          <w:p w14:paraId="2BB8897B" w14:textId="77777777" w:rsidR="008F3AB0" w:rsidRPr="00B91AA1" w:rsidRDefault="008F3AB0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proofErr w:type="spellStart"/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Держенер</w:t>
            </w:r>
            <w:r w:rsidR="0038323B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гонагляд</w:t>
            </w:r>
            <w:proofErr w:type="spellEnd"/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17EF76B" w14:textId="77777777" w:rsidR="008F3AB0" w:rsidRPr="00B91AA1" w:rsidRDefault="008F3AB0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Державний нагляд за дотриманням суб’єктами господарювання та споживачами вимог правил та інших нормативно-правових актів і нормативних документів у </w:t>
            </w:r>
            <w:r w:rsidR="00340AB0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сферах </w:t>
            </w: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електроенергетики та теплопостачання </w:t>
            </w:r>
          </w:p>
        </w:tc>
        <w:tc>
          <w:tcPr>
            <w:tcW w:w="1701" w:type="dxa"/>
            <w:shd w:val="clear" w:color="auto" w:fill="auto"/>
          </w:tcPr>
          <w:p w14:paraId="5EE6A580" w14:textId="77777777" w:rsidR="008F3AB0" w:rsidRPr="00B91AA1" w:rsidRDefault="008F3AB0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Оптимізація державного нагляду (контролю) у </w:t>
            </w:r>
            <w:r w:rsidR="00340AB0"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сферах </w:t>
            </w:r>
            <w:proofErr w:type="spellStart"/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електро</w:t>
            </w:r>
            <w:proofErr w:type="spellEnd"/>
            <w:r w:rsidR="007B1C8F" w:rsidRPr="00B91AA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енергетики та </w:t>
            </w:r>
            <w:proofErr w:type="spellStart"/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теплопоста</w:t>
            </w:r>
            <w:r w:rsidR="007B1C8F" w:rsidRPr="00B91AA1"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чання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1681357" w14:textId="77777777" w:rsidR="008F3AB0" w:rsidRPr="00B91AA1" w:rsidRDefault="00A01C2C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Н</w:t>
            </w:r>
            <w:r w:rsidR="008F3AB0" w:rsidRPr="00B91AA1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адійна робота ОЕС України</w:t>
            </w:r>
          </w:p>
        </w:tc>
        <w:tc>
          <w:tcPr>
            <w:tcW w:w="2522" w:type="dxa"/>
            <w:shd w:val="clear" w:color="auto" w:fill="auto"/>
          </w:tcPr>
          <w:p w14:paraId="20BAC367" w14:textId="77777777" w:rsidR="008F3AB0" w:rsidRPr="00B91AA1" w:rsidRDefault="008F3AB0" w:rsidP="00313191">
            <w:pPr>
              <w:ind w:right="-135"/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Реалізація акта забезпечить перерозподіл державного нагляду (контролю) з суб’єктів господарювання</w:t>
            </w:r>
            <w:r w:rsidR="008B26CC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, у</w:t>
            </w:r>
            <w:r w:rsidR="008870D7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яких</w:t>
            </w:r>
            <w:r w:rsidR="008B26CC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провадження господарської діяльності пов’язане з меншим ризиком, </w:t>
            </w: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на </w:t>
            </w:r>
            <w:r w:rsidR="008B26CC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суб’єкти з більшим ризиком від провадження господарської діяльності</w:t>
            </w:r>
          </w:p>
        </w:tc>
      </w:tr>
    </w:tbl>
    <w:p w14:paraId="3726C8A9" w14:textId="77777777" w:rsidR="00CD1AAC" w:rsidRPr="00D85DE7" w:rsidRDefault="00F10FDF" w:rsidP="00E96192">
      <w:pPr>
        <w:shd w:val="clear" w:color="auto" w:fill="FFFFFF"/>
        <w:spacing w:line="264" w:lineRule="auto"/>
        <w:ind w:left="3686"/>
        <w:textAlignment w:val="baseline"/>
        <w:rPr>
          <w:sz w:val="24"/>
          <w:szCs w:val="24"/>
          <w:lang w:val="uk-UA"/>
        </w:rPr>
      </w:pPr>
      <w:r w:rsidRPr="00D85DE7">
        <w:rPr>
          <w:sz w:val="24"/>
          <w:szCs w:val="24"/>
          <w:lang w:val="uk-UA"/>
        </w:rPr>
        <w:lastRenderedPageBreak/>
        <w:t xml:space="preserve">Продовження додатка  </w:t>
      </w:r>
      <w:r w:rsidRPr="00D85DE7">
        <w:rPr>
          <w:sz w:val="24"/>
          <w:szCs w:val="24"/>
          <w:lang w:val="uk-UA"/>
        </w:rPr>
        <w:br/>
      </w:r>
      <w:r w:rsidR="00CD1AAC" w:rsidRPr="00D85DE7">
        <w:rPr>
          <w:sz w:val="24"/>
          <w:szCs w:val="24"/>
          <w:lang w:val="uk-UA"/>
        </w:rPr>
        <w:t xml:space="preserve">до пояснювальної записки </w:t>
      </w:r>
    </w:p>
    <w:p w14:paraId="65ECCCC4" w14:textId="270A881B" w:rsidR="00CD1AAC" w:rsidRPr="00D85DE7" w:rsidRDefault="00CD1AAC" w:rsidP="00E96192">
      <w:pPr>
        <w:autoSpaceDE w:val="0"/>
        <w:autoSpaceDN w:val="0"/>
        <w:adjustRightInd w:val="0"/>
        <w:spacing w:line="264" w:lineRule="auto"/>
        <w:ind w:left="3686" w:right="-427"/>
        <w:rPr>
          <w:sz w:val="24"/>
          <w:szCs w:val="24"/>
          <w:lang w:val="uk-UA"/>
        </w:rPr>
      </w:pPr>
      <w:r w:rsidRPr="00D85DE7">
        <w:rPr>
          <w:sz w:val="24"/>
          <w:szCs w:val="24"/>
          <w:lang w:val="uk-UA"/>
        </w:rPr>
        <w:t xml:space="preserve">до </w:t>
      </w:r>
      <w:proofErr w:type="spellStart"/>
      <w:r w:rsidR="002363A4">
        <w:rPr>
          <w:sz w:val="24"/>
          <w:szCs w:val="24"/>
          <w:lang w:val="uk-UA"/>
        </w:rPr>
        <w:t>проєкт</w:t>
      </w:r>
      <w:r w:rsidRPr="00D85DE7">
        <w:rPr>
          <w:sz w:val="24"/>
          <w:szCs w:val="24"/>
          <w:lang w:val="uk-UA"/>
        </w:rPr>
        <w:t>у</w:t>
      </w:r>
      <w:proofErr w:type="spellEnd"/>
      <w:r w:rsidRPr="00D85DE7">
        <w:rPr>
          <w:sz w:val="24"/>
          <w:szCs w:val="24"/>
          <w:lang w:val="uk-UA"/>
        </w:rPr>
        <w:t xml:space="preserve"> постанови Кабінету Міністрів України</w:t>
      </w:r>
    </w:p>
    <w:p w14:paraId="48785F15" w14:textId="77777777" w:rsidR="00CD1AAC" w:rsidRPr="00D85DE7" w:rsidRDefault="00CD1AAC" w:rsidP="00E96192">
      <w:pPr>
        <w:spacing w:line="264" w:lineRule="auto"/>
        <w:ind w:left="3686"/>
        <w:rPr>
          <w:sz w:val="24"/>
          <w:szCs w:val="24"/>
          <w:lang w:val="uk-UA"/>
        </w:rPr>
      </w:pPr>
      <w:r w:rsidRPr="00D85DE7">
        <w:rPr>
          <w:sz w:val="24"/>
          <w:szCs w:val="24"/>
          <w:lang w:val="uk-UA"/>
        </w:rPr>
        <w:t>«</w:t>
      </w:r>
      <w:r w:rsidRPr="00D85DE7">
        <w:rPr>
          <w:bCs/>
          <w:sz w:val="24"/>
          <w:szCs w:val="24"/>
          <w:lang w:val="uk-UA"/>
        </w:rPr>
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заходів державного нагляду (контролю) Державною інспекцією енергетичного нагляду </w:t>
      </w:r>
      <w:r w:rsidRPr="00D85DE7">
        <w:rPr>
          <w:sz w:val="24"/>
          <w:szCs w:val="24"/>
          <w:lang w:val="uk-UA"/>
        </w:rPr>
        <w:t>та визнання такими, що втратили чинність, деяких постанов Кабінету Міністрів України»</w:t>
      </w:r>
    </w:p>
    <w:p w14:paraId="4CE48756" w14:textId="77777777" w:rsidR="00F10FDF" w:rsidRPr="00B91AA1" w:rsidRDefault="00F10FDF" w:rsidP="009E018D">
      <w:pPr>
        <w:shd w:val="clear" w:color="auto" w:fill="FFFFFF"/>
        <w:spacing w:line="360" w:lineRule="auto"/>
        <w:ind w:left="6237"/>
        <w:textAlignment w:val="baseline"/>
      </w:pPr>
    </w:p>
    <w:tbl>
      <w:tblPr>
        <w:tblW w:w="101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1701"/>
        <w:gridCol w:w="2664"/>
      </w:tblGrid>
      <w:tr w:rsidR="00B664D1" w:rsidRPr="00B91AA1" w14:paraId="075AB06A" w14:textId="77777777" w:rsidTr="00BE31F2">
        <w:tc>
          <w:tcPr>
            <w:tcW w:w="1560" w:type="dxa"/>
            <w:shd w:val="clear" w:color="auto" w:fill="auto"/>
          </w:tcPr>
          <w:p w14:paraId="7628DEDB" w14:textId="77777777" w:rsidR="00B664D1" w:rsidRPr="00B91AA1" w:rsidRDefault="00B664D1" w:rsidP="00E9619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Суб’єкти господа-</w:t>
            </w:r>
            <w:proofErr w:type="spellStart"/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рювання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18FA77FD" w14:textId="77777777" w:rsidR="00B664D1" w:rsidRPr="00B91AA1" w:rsidRDefault="00B664D1" w:rsidP="00E96192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Забезпечення дотримання технічного стану </w:t>
            </w:r>
            <w:r w:rsidRPr="00B91AA1">
              <w:rPr>
                <w:rFonts w:eastAsia="Calibri"/>
                <w:iCs/>
                <w:sz w:val="24"/>
                <w:szCs w:val="24"/>
                <w:shd w:val="clear" w:color="auto" w:fill="FFFFFF"/>
                <w:lang w:val="uk-UA" w:eastAsia="en-US"/>
              </w:rPr>
              <w:t>електроенергетичних об’єктів, установок і мереж відповідно до вимог</w:t>
            </w:r>
            <w:r w:rsidRPr="00B91AA1">
              <w:rPr>
                <w:sz w:val="24"/>
                <w:szCs w:val="24"/>
                <w:shd w:val="clear" w:color="auto" w:fill="FFFFFF"/>
                <w:lang w:val="uk-UA" w:eastAsia="en-US"/>
              </w:rPr>
              <w:t xml:space="preserve"> </w:t>
            </w:r>
            <w:r w:rsidRPr="00B91AA1">
              <w:rPr>
                <w:rFonts w:eastAsia="Calibri"/>
                <w:iCs/>
                <w:sz w:val="24"/>
                <w:szCs w:val="24"/>
                <w:shd w:val="clear" w:color="auto" w:fill="FFFFFF"/>
                <w:lang w:val="uk-UA" w:eastAsia="en-US"/>
              </w:rPr>
              <w:t xml:space="preserve">правил, та інших нормативно-правових актів і нормативних документів у галузі електроенергетики та сфері теплопостачання </w:t>
            </w:r>
          </w:p>
        </w:tc>
        <w:tc>
          <w:tcPr>
            <w:tcW w:w="1701" w:type="dxa"/>
            <w:shd w:val="clear" w:color="auto" w:fill="auto"/>
          </w:tcPr>
          <w:p w14:paraId="5BD9E546" w14:textId="77777777" w:rsidR="00B664D1" w:rsidRPr="00B91AA1" w:rsidRDefault="00B664D1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Зменшення негативного впливу на роботу </w:t>
            </w:r>
            <w:r w:rsidRPr="00B91AA1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ОЕС України</w:t>
            </w:r>
          </w:p>
        </w:tc>
        <w:tc>
          <w:tcPr>
            <w:tcW w:w="1701" w:type="dxa"/>
            <w:shd w:val="clear" w:color="auto" w:fill="auto"/>
          </w:tcPr>
          <w:p w14:paraId="513D8964" w14:textId="77777777" w:rsidR="00B664D1" w:rsidRPr="00B91AA1" w:rsidRDefault="00B664D1" w:rsidP="00E96192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>Зменшення та/або відсутніст</w:t>
            </w:r>
            <w:r w:rsidR="001B2A5C" w:rsidRPr="00B91AA1">
              <w:rPr>
                <w:rFonts w:eastAsia="Calibri"/>
                <w:sz w:val="24"/>
                <w:szCs w:val="24"/>
                <w:lang w:val="uk-UA" w:eastAsia="en-US"/>
              </w:rPr>
              <w:t>ь негатив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ного впливу на роботу </w:t>
            </w:r>
            <w:r w:rsidRPr="00B91AA1">
              <w:rPr>
                <w:rFonts w:eastAsia="Calibri"/>
                <w:bCs/>
                <w:iCs/>
                <w:sz w:val="24"/>
                <w:szCs w:val="24"/>
                <w:lang w:val="uk-UA" w:eastAsia="en-US"/>
              </w:rPr>
              <w:t>ОЕС України</w:t>
            </w:r>
            <w:r w:rsidRPr="00B91AA1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40CCAECC" w14:textId="77777777" w:rsidR="00B664D1" w:rsidRPr="00B91AA1" w:rsidRDefault="00B664D1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Реалізація акта забезпечить перерозподіл державного нагляду (контролю) з суб’єктів господарювання, у яких провадження господарської діяльності пов’язане з меншим ризиком, на суб’єкти з більшим ризиком від провадження господарської діяльності</w:t>
            </w:r>
          </w:p>
        </w:tc>
      </w:tr>
      <w:tr w:rsidR="00BE31F2" w:rsidRPr="00B91AA1" w14:paraId="192626CA" w14:textId="77777777" w:rsidTr="00BE31F2">
        <w:tc>
          <w:tcPr>
            <w:tcW w:w="1560" w:type="dxa"/>
            <w:shd w:val="clear" w:color="auto" w:fill="auto"/>
          </w:tcPr>
          <w:p w14:paraId="3D2E7FFD" w14:textId="77777777" w:rsidR="008F3AB0" w:rsidRPr="00B91AA1" w:rsidRDefault="008F3AB0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Споживачі електричної та теплової енергії</w:t>
            </w:r>
          </w:p>
        </w:tc>
        <w:tc>
          <w:tcPr>
            <w:tcW w:w="2552" w:type="dxa"/>
            <w:shd w:val="clear" w:color="auto" w:fill="auto"/>
          </w:tcPr>
          <w:p w14:paraId="3BF0F091" w14:textId="77777777" w:rsidR="008F3AB0" w:rsidRPr="00B91AA1" w:rsidRDefault="008F3AB0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Безперебійне отримання електричної та теплової енергії відповідної якості</w:t>
            </w:r>
          </w:p>
        </w:tc>
        <w:tc>
          <w:tcPr>
            <w:tcW w:w="1701" w:type="dxa"/>
            <w:shd w:val="clear" w:color="auto" w:fill="auto"/>
          </w:tcPr>
          <w:p w14:paraId="2549B47B" w14:textId="77777777" w:rsidR="008F3AB0" w:rsidRPr="00B91AA1" w:rsidRDefault="008F3AB0" w:rsidP="00E9619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79DA94E" w14:textId="77777777" w:rsidR="008F3AB0" w:rsidRPr="00B91AA1" w:rsidRDefault="008F3AB0" w:rsidP="00E96192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B91AA1">
              <w:rPr>
                <w:rFonts w:eastAsia="Calibri"/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2664" w:type="dxa"/>
            <w:shd w:val="clear" w:color="auto" w:fill="auto"/>
          </w:tcPr>
          <w:p w14:paraId="1674C7EA" w14:textId="77777777" w:rsidR="008F3AB0" w:rsidRPr="00B91AA1" w:rsidRDefault="008F3AB0" w:rsidP="00E96192">
            <w:pPr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</w:pP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За рахунок зменшення кількості аварійних відключень покращиться якість та надійність</w:t>
            </w:r>
            <w:r w:rsidR="005C630B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постачання</w:t>
            </w: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електр</w:t>
            </w:r>
            <w:r w:rsidR="00C42E2B"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>ичної та</w:t>
            </w:r>
            <w:r w:rsidRPr="00B91AA1">
              <w:rPr>
                <w:rFonts w:eastAsia="Calibri"/>
                <w:sz w:val="24"/>
                <w:szCs w:val="24"/>
                <w:shd w:val="clear" w:color="auto" w:fill="FFFFFF"/>
                <w:lang w:val="uk-UA" w:eastAsia="en-US"/>
              </w:rPr>
              <w:t xml:space="preserve"> теплової енергії споживачам.</w:t>
            </w:r>
          </w:p>
        </w:tc>
      </w:tr>
    </w:tbl>
    <w:p w14:paraId="67AAD17F" w14:textId="77777777" w:rsidR="008F3AB0" w:rsidRPr="00B91AA1" w:rsidRDefault="008F3AB0" w:rsidP="009E018D">
      <w:pPr>
        <w:spacing w:line="360" w:lineRule="auto"/>
        <w:ind w:firstLine="708"/>
        <w:jc w:val="both"/>
        <w:rPr>
          <w:b/>
          <w:lang w:val="uk-UA"/>
        </w:rPr>
      </w:pPr>
    </w:p>
    <w:p w14:paraId="1F33E53B" w14:textId="77777777" w:rsidR="00076631" w:rsidRPr="00B91AA1" w:rsidRDefault="00076631" w:rsidP="009E018D">
      <w:pPr>
        <w:spacing w:line="360" w:lineRule="auto"/>
        <w:jc w:val="both"/>
        <w:rPr>
          <w:b/>
          <w:lang w:val="uk-UA"/>
        </w:rPr>
      </w:pPr>
    </w:p>
    <w:sectPr w:rsidR="00076631" w:rsidRPr="00B91AA1" w:rsidSect="00BA4462">
      <w:headerReference w:type="first" r:id="rId13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C9A9" w14:textId="77777777" w:rsidR="00751C67" w:rsidRDefault="00751C67">
      <w:r>
        <w:separator/>
      </w:r>
    </w:p>
  </w:endnote>
  <w:endnote w:type="continuationSeparator" w:id="0">
    <w:p w14:paraId="0241CC06" w14:textId="77777777" w:rsidR="00751C67" w:rsidRDefault="007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43D8" w14:textId="77777777" w:rsidR="00BA4462" w:rsidRDefault="00BA44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D148" w14:textId="77777777" w:rsidR="00BA4462" w:rsidRDefault="00BA44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7D19" w14:textId="77777777" w:rsidR="00BA4462" w:rsidRDefault="00BA4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DD816" w14:textId="77777777" w:rsidR="00751C67" w:rsidRDefault="00751C67">
      <w:r>
        <w:separator/>
      </w:r>
    </w:p>
  </w:footnote>
  <w:footnote w:type="continuationSeparator" w:id="0">
    <w:p w14:paraId="0F7AA2B5" w14:textId="77777777" w:rsidR="00751C67" w:rsidRDefault="0075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C80B" w14:textId="77777777" w:rsidR="006903DD" w:rsidRDefault="006903DD" w:rsidP="00AE13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5D0138">
      <w:rPr>
        <w:rStyle w:val="a7"/>
      </w:rPr>
      <w:fldChar w:fldCharType="separate"/>
    </w:r>
    <w:r w:rsidR="00313191">
      <w:rPr>
        <w:rStyle w:val="a7"/>
        <w:noProof/>
      </w:rPr>
      <w:t>2</w:t>
    </w:r>
    <w:r>
      <w:rPr>
        <w:rStyle w:val="a7"/>
      </w:rPr>
      <w:fldChar w:fldCharType="end"/>
    </w:r>
  </w:p>
  <w:p w14:paraId="7549FEC6" w14:textId="77777777" w:rsidR="006903DD" w:rsidRDefault="006903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3CE5" w14:textId="77777777" w:rsidR="00313191" w:rsidRDefault="003131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B5C" w:rsidRPr="00E47B5C">
      <w:rPr>
        <w:noProof/>
        <w:lang w:val="ru-RU"/>
      </w:rPr>
      <w:t>7</w:t>
    </w:r>
    <w:r>
      <w:fldChar w:fldCharType="end"/>
    </w:r>
  </w:p>
  <w:p w14:paraId="613ADBD4" w14:textId="77777777" w:rsidR="005D0138" w:rsidRPr="00313191" w:rsidRDefault="005D0138" w:rsidP="003131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3009" w14:textId="77777777" w:rsidR="00313191" w:rsidRDefault="00313191">
    <w:pPr>
      <w:pStyle w:val="a5"/>
      <w:jc w:val="center"/>
    </w:pPr>
  </w:p>
  <w:p w14:paraId="62CA95EB" w14:textId="77777777" w:rsidR="00A65A1B" w:rsidRDefault="00A65A1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AB9D" w14:textId="77777777" w:rsidR="005D0138" w:rsidRDefault="005D0138">
    <w:pPr>
      <w:pStyle w:val="a5"/>
      <w:jc w:val="center"/>
    </w:pPr>
  </w:p>
  <w:p w14:paraId="55778664" w14:textId="77777777" w:rsidR="002E4E0B" w:rsidRDefault="002E4E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169B"/>
    <w:multiLevelType w:val="hybridMultilevel"/>
    <w:tmpl w:val="FEE68C3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2AB"/>
    <w:multiLevelType w:val="hybridMultilevel"/>
    <w:tmpl w:val="60C000BC"/>
    <w:lvl w:ilvl="0" w:tplc="1B48F6F2">
      <w:start w:val="4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4B37859"/>
    <w:multiLevelType w:val="hybridMultilevel"/>
    <w:tmpl w:val="EDAA4EE8"/>
    <w:lvl w:ilvl="0" w:tplc="B612523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</w:lvl>
    <w:lvl w:ilvl="3" w:tplc="0422000F" w:tentative="1">
      <w:start w:val="1"/>
      <w:numFmt w:val="decimal"/>
      <w:lvlText w:val="%4."/>
      <w:lvlJc w:val="left"/>
      <w:pPr>
        <w:ind w:left="3303" w:hanging="360"/>
      </w:p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</w:lvl>
    <w:lvl w:ilvl="6" w:tplc="0422000F" w:tentative="1">
      <w:start w:val="1"/>
      <w:numFmt w:val="decimal"/>
      <w:lvlText w:val="%7."/>
      <w:lvlJc w:val="left"/>
      <w:pPr>
        <w:ind w:left="5463" w:hanging="360"/>
      </w:p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6EDB12D3"/>
    <w:multiLevelType w:val="hybridMultilevel"/>
    <w:tmpl w:val="72049AEC"/>
    <w:lvl w:ilvl="0" w:tplc="86DAB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D4"/>
    <w:rsid w:val="00000889"/>
    <w:rsid w:val="000052D2"/>
    <w:rsid w:val="000110BB"/>
    <w:rsid w:val="00016C8A"/>
    <w:rsid w:val="0002619E"/>
    <w:rsid w:val="00026966"/>
    <w:rsid w:val="00033310"/>
    <w:rsid w:val="000362A6"/>
    <w:rsid w:val="0003743B"/>
    <w:rsid w:val="00041608"/>
    <w:rsid w:val="000457E2"/>
    <w:rsid w:val="00052F3C"/>
    <w:rsid w:val="00053F1B"/>
    <w:rsid w:val="00061346"/>
    <w:rsid w:val="00063894"/>
    <w:rsid w:val="00070C7C"/>
    <w:rsid w:val="00076631"/>
    <w:rsid w:val="00091A09"/>
    <w:rsid w:val="00097965"/>
    <w:rsid w:val="000C3688"/>
    <w:rsid w:val="000D151B"/>
    <w:rsid w:val="000D4D2A"/>
    <w:rsid w:val="000F6B0B"/>
    <w:rsid w:val="00100645"/>
    <w:rsid w:val="00105E77"/>
    <w:rsid w:val="0010708C"/>
    <w:rsid w:val="00135E36"/>
    <w:rsid w:val="00137D82"/>
    <w:rsid w:val="00146ED5"/>
    <w:rsid w:val="00153CC0"/>
    <w:rsid w:val="00160B8C"/>
    <w:rsid w:val="0016219F"/>
    <w:rsid w:val="0016454F"/>
    <w:rsid w:val="00170456"/>
    <w:rsid w:val="00172455"/>
    <w:rsid w:val="00172EC9"/>
    <w:rsid w:val="00175714"/>
    <w:rsid w:val="00177800"/>
    <w:rsid w:val="00180585"/>
    <w:rsid w:val="001A0EC7"/>
    <w:rsid w:val="001B2A5C"/>
    <w:rsid w:val="001C2FC6"/>
    <w:rsid w:val="001C4D9F"/>
    <w:rsid w:val="001D167D"/>
    <w:rsid w:val="001E4E67"/>
    <w:rsid w:val="001F0F07"/>
    <w:rsid w:val="001F5936"/>
    <w:rsid w:val="001F6B7A"/>
    <w:rsid w:val="001F71CE"/>
    <w:rsid w:val="002018CB"/>
    <w:rsid w:val="00202318"/>
    <w:rsid w:val="002142E8"/>
    <w:rsid w:val="00231107"/>
    <w:rsid w:val="002363A4"/>
    <w:rsid w:val="002477B2"/>
    <w:rsid w:val="002510A9"/>
    <w:rsid w:val="00252752"/>
    <w:rsid w:val="002545B0"/>
    <w:rsid w:val="002622AF"/>
    <w:rsid w:val="00275536"/>
    <w:rsid w:val="00275F69"/>
    <w:rsid w:val="002812A0"/>
    <w:rsid w:val="002873CC"/>
    <w:rsid w:val="00292DE4"/>
    <w:rsid w:val="002954CD"/>
    <w:rsid w:val="002A16C2"/>
    <w:rsid w:val="002A4581"/>
    <w:rsid w:val="002C492D"/>
    <w:rsid w:val="002C6798"/>
    <w:rsid w:val="002C7955"/>
    <w:rsid w:val="002D1811"/>
    <w:rsid w:val="002D32BA"/>
    <w:rsid w:val="002D4CB3"/>
    <w:rsid w:val="002E3E59"/>
    <w:rsid w:val="002E4E0B"/>
    <w:rsid w:val="002E4E5B"/>
    <w:rsid w:val="002F16D1"/>
    <w:rsid w:val="002F756E"/>
    <w:rsid w:val="003048CE"/>
    <w:rsid w:val="003066D7"/>
    <w:rsid w:val="00313191"/>
    <w:rsid w:val="00315C6E"/>
    <w:rsid w:val="00337DC4"/>
    <w:rsid w:val="00340AB0"/>
    <w:rsid w:val="00341C6E"/>
    <w:rsid w:val="00341E49"/>
    <w:rsid w:val="00343347"/>
    <w:rsid w:val="00344B37"/>
    <w:rsid w:val="00347D12"/>
    <w:rsid w:val="0035177F"/>
    <w:rsid w:val="003618A9"/>
    <w:rsid w:val="00377461"/>
    <w:rsid w:val="003817C5"/>
    <w:rsid w:val="0038323B"/>
    <w:rsid w:val="00385C84"/>
    <w:rsid w:val="00387AE5"/>
    <w:rsid w:val="00387DAC"/>
    <w:rsid w:val="0039087C"/>
    <w:rsid w:val="00391846"/>
    <w:rsid w:val="003A20E4"/>
    <w:rsid w:val="003A45B8"/>
    <w:rsid w:val="003B2941"/>
    <w:rsid w:val="003B5963"/>
    <w:rsid w:val="003B7959"/>
    <w:rsid w:val="003C6DE2"/>
    <w:rsid w:val="003E2D07"/>
    <w:rsid w:val="003F3402"/>
    <w:rsid w:val="00403EFC"/>
    <w:rsid w:val="00426961"/>
    <w:rsid w:val="00427405"/>
    <w:rsid w:val="00434986"/>
    <w:rsid w:val="00441C8E"/>
    <w:rsid w:val="00446835"/>
    <w:rsid w:val="00460268"/>
    <w:rsid w:val="00460F0C"/>
    <w:rsid w:val="004641AE"/>
    <w:rsid w:val="00465D8D"/>
    <w:rsid w:val="004677D2"/>
    <w:rsid w:val="00472A8D"/>
    <w:rsid w:val="00485E25"/>
    <w:rsid w:val="004A6E16"/>
    <w:rsid w:val="004B05EF"/>
    <w:rsid w:val="004B450E"/>
    <w:rsid w:val="004B619C"/>
    <w:rsid w:val="004C126A"/>
    <w:rsid w:val="004D3BBE"/>
    <w:rsid w:val="004D6975"/>
    <w:rsid w:val="004D7EB1"/>
    <w:rsid w:val="004E38EE"/>
    <w:rsid w:val="004E44A6"/>
    <w:rsid w:val="004E53ED"/>
    <w:rsid w:val="004F6D6E"/>
    <w:rsid w:val="005014E4"/>
    <w:rsid w:val="0050465E"/>
    <w:rsid w:val="00507200"/>
    <w:rsid w:val="00511707"/>
    <w:rsid w:val="0053060F"/>
    <w:rsid w:val="00530DCF"/>
    <w:rsid w:val="005429FF"/>
    <w:rsid w:val="00547A7A"/>
    <w:rsid w:val="005516FB"/>
    <w:rsid w:val="005552D2"/>
    <w:rsid w:val="00555870"/>
    <w:rsid w:val="00561761"/>
    <w:rsid w:val="00572507"/>
    <w:rsid w:val="00576260"/>
    <w:rsid w:val="00583E89"/>
    <w:rsid w:val="005A4479"/>
    <w:rsid w:val="005B5CB0"/>
    <w:rsid w:val="005B5CC7"/>
    <w:rsid w:val="005B6142"/>
    <w:rsid w:val="005C0B38"/>
    <w:rsid w:val="005C1635"/>
    <w:rsid w:val="005C630B"/>
    <w:rsid w:val="005C7AA1"/>
    <w:rsid w:val="005D0138"/>
    <w:rsid w:val="005D36EC"/>
    <w:rsid w:val="005D53AA"/>
    <w:rsid w:val="005E140B"/>
    <w:rsid w:val="005E7B82"/>
    <w:rsid w:val="005F6B35"/>
    <w:rsid w:val="00600717"/>
    <w:rsid w:val="00602D65"/>
    <w:rsid w:val="00603809"/>
    <w:rsid w:val="00612D79"/>
    <w:rsid w:val="0061557A"/>
    <w:rsid w:val="006238FB"/>
    <w:rsid w:val="00624A2B"/>
    <w:rsid w:val="006341BF"/>
    <w:rsid w:val="006363D8"/>
    <w:rsid w:val="0064637F"/>
    <w:rsid w:val="00647855"/>
    <w:rsid w:val="00651BF2"/>
    <w:rsid w:val="006566E5"/>
    <w:rsid w:val="00664621"/>
    <w:rsid w:val="006657E1"/>
    <w:rsid w:val="00670926"/>
    <w:rsid w:val="00686C51"/>
    <w:rsid w:val="0068723C"/>
    <w:rsid w:val="00687D5F"/>
    <w:rsid w:val="00690071"/>
    <w:rsid w:val="006903DD"/>
    <w:rsid w:val="006978E3"/>
    <w:rsid w:val="006A2A93"/>
    <w:rsid w:val="006B26AE"/>
    <w:rsid w:val="006C5B98"/>
    <w:rsid w:val="006C6033"/>
    <w:rsid w:val="006D563E"/>
    <w:rsid w:val="006D64A8"/>
    <w:rsid w:val="006D6899"/>
    <w:rsid w:val="006D794A"/>
    <w:rsid w:val="006F65EA"/>
    <w:rsid w:val="00705C69"/>
    <w:rsid w:val="0071043E"/>
    <w:rsid w:val="00713880"/>
    <w:rsid w:val="00717B5E"/>
    <w:rsid w:val="007206BC"/>
    <w:rsid w:val="007278E3"/>
    <w:rsid w:val="00732F6C"/>
    <w:rsid w:val="00734C58"/>
    <w:rsid w:val="00740D8A"/>
    <w:rsid w:val="00745228"/>
    <w:rsid w:val="00751118"/>
    <w:rsid w:val="00751C67"/>
    <w:rsid w:val="00756820"/>
    <w:rsid w:val="00763372"/>
    <w:rsid w:val="007660F2"/>
    <w:rsid w:val="00771CCD"/>
    <w:rsid w:val="00783529"/>
    <w:rsid w:val="0079055C"/>
    <w:rsid w:val="00794802"/>
    <w:rsid w:val="00797F11"/>
    <w:rsid w:val="007A285E"/>
    <w:rsid w:val="007B1C26"/>
    <w:rsid w:val="007B1C8F"/>
    <w:rsid w:val="007B3A5D"/>
    <w:rsid w:val="007B5EC5"/>
    <w:rsid w:val="007C157C"/>
    <w:rsid w:val="007C6375"/>
    <w:rsid w:val="007C72A0"/>
    <w:rsid w:val="007D65BD"/>
    <w:rsid w:val="007F1E0D"/>
    <w:rsid w:val="007F71A8"/>
    <w:rsid w:val="00806CBE"/>
    <w:rsid w:val="008145E3"/>
    <w:rsid w:val="0082608C"/>
    <w:rsid w:val="00846A1D"/>
    <w:rsid w:val="00863130"/>
    <w:rsid w:val="00866FF0"/>
    <w:rsid w:val="00867596"/>
    <w:rsid w:val="00871064"/>
    <w:rsid w:val="008779E6"/>
    <w:rsid w:val="008870D7"/>
    <w:rsid w:val="00892F67"/>
    <w:rsid w:val="00893F7B"/>
    <w:rsid w:val="008A1806"/>
    <w:rsid w:val="008A4055"/>
    <w:rsid w:val="008A7FF0"/>
    <w:rsid w:val="008B26CC"/>
    <w:rsid w:val="008C0876"/>
    <w:rsid w:val="008D62A5"/>
    <w:rsid w:val="008E1D75"/>
    <w:rsid w:val="008F2439"/>
    <w:rsid w:val="008F3AB0"/>
    <w:rsid w:val="008F4821"/>
    <w:rsid w:val="008F69B4"/>
    <w:rsid w:val="008F75A8"/>
    <w:rsid w:val="00905234"/>
    <w:rsid w:val="0090623A"/>
    <w:rsid w:val="00913B29"/>
    <w:rsid w:val="009179D4"/>
    <w:rsid w:val="00951954"/>
    <w:rsid w:val="009564F4"/>
    <w:rsid w:val="00977899"/>
    <w:rsid w:val="009847AA"/>
    <w:rsid w:val="0098513F"/>
    <w:rsid w:val="009862FD"/>
    <w:rsid w:val="00991755"/>
    <w:rsid w:val="00995CC2"/>
    <w:rsid w:val="0099634C"/>
    <w:rsid w:val="009A6797"/>
    <w:rsid w:val="009B7742"/>
    <w:rsid w:val="009C06A9"/>
    <w:rsid w:val="009C086C"/>
    <w:rsid w:val="009C3F1D"/>
    <w:rsid w:val="009D42C6"/>
    <w:rsid w:val="009E018D"/>
    <w:rsid w:val="009E3AF5"/>
    <w:rsid w:val="009E43B3"/>
    <w:rsid w:val="009E4F37"/>
    <w:rsid w:val="009F13E3"/>
    <w:rsid w:val="00A01C2C"/>
    <w:rsid w:val="00A05FF6"/>
    <w:rsid w:val="00A07F99"/>
    <w:rsid w:val="00A1058F"/>
    <w:rsid w:val="00A179B4"/>
    <w:rsid w:val="00A24A8D"/>
    <w:rsid w:val="00A263C8"/>
    <w:rsid w:val="00A326F7"/>
    <w:rsid w:val="00A34C45"/>
    <w:rsid w:val="00A42308"/>
    <w:rsid w:val="00A50727"/>
    <w:rsid w:val="00A536CA"/>
    <w:rsid w:val="00A56454"/>
    <w:rsid w:val="00A60B83"/>
    <w:rsid w:val="00A62C7E"/>
    <w:rsid w:val="00A63D85"/>
    <w:rsid w:val="00A652B3"/>
    <w:rsid w:val="00A65A1B"/>
    <w:rsid w:val="00A67771"/>
    <w:rsid w:val="00A72160"/>
    <w:rsid w:val="00A744D6"/>
    <w:rsid w:val="00A771A0"/>
    <w:rsid w:val="00A91A8D"/>
    <w:rsid w:val="00AB605F"/>
    <w:rsid w:val="00AD0506"/>
    <w:rsid w:val="00AD327D"/>
    <w:rsid w:val="00AE1375"/>
    <w:rsid w:val="00AE4566"/>
    <w:rsid w:val="00AE768C"/>
    <w:rsid w:val="00AF167D"/>
    <w:rsid w:val="00AF4894"/>
    <w:rsid w:val="00AF77A9"/>
    <w:rsid w:val="00B03297"/>
    <w:rsid w:val="00B05391"/>
    <w:rsid w:val="00B233E8"/>
    <w:rsid w:val="00B650B9"/>
    <w:rsid w:val="00B664D1"/>
    <w:rsid w:val="00B67A0C"/>
    <w:rsid w:val="00B84AF1"/>
    <w:rsid w:val="00B86033"/>
    <w:rsid w:val="00B91AA1"/>
    <w:rsid w:val="00BA4462"/>
    <w:rsid w:val="00BA45F2"/>
    <w:rsid w:val="00BB0AEA"/>
    <w:rsid w:val="00BD24A0"/>
    <w:rsid w:val="00BD3FA0"/>
    <w:rsid w:val="00BD4B8F"/>
    <w:rsid w:val="00BE31F2"/>
    <w:rsid w:val="00BE51D7"/>
    <w:rsid w:val="00BE67F8"/>
    <w:rsid w:val="00BE7985"/>
    <w:rsid w:val="00BF2E2F"/>
    <w:rsid w:val="00BF5AAC"/>
    <w:rsid w:val="00BF621E"/>
    <w:rsid w:val="00C032AE"/>
    <w:rsid w:val="00C12321"/>
    <w:rsid w:val="00C13811"/>
    <w:rsid w:val="00C15FC8"/>
    <w:rsid w:val="00C165FA"/>
    <w:rsid w:val="00C27795"/>
    <w:rsid w:val="00C313A8"/>
    <w:rsid w:val="00C32D3A"/>
    <w:rsid w:val="00C371FF"/>
    <w:rsid w:val="00C42E2B"/>
    <w:rsid w:val="00C439C7"/>
    <w:rsid w:val="00C46D65"/>
    <w:rsid w:val="00C507A2"/>
    <w:rsid w:val="00C55F5E"/>
    <w:rsid w:val="00C57AD5"/>
    <w:rsid w:val="00C6120A"/>
    <w:rsid w:val="00C64064"/>
    <w:rsid w:val="00C7056F"/>
    <w:rsid w:val="00C86044"/>
    <w:rsid w:val="00C92BC5"/>
    <w:rsid w:val="00C96379"/>
    <w:rsid w:val="00CA006E"/>
    <w:rsid w:val="00CA29A1"/>
    <w:rsid w:val="00CA623F"/>
    <w:rsid w:val="00CB7A5B"/>
    <w:rsid w:val="00CD1AAC"/>
    <w:rsid w:val="00CD67E7"/>
    <w:rsid w:val="00CD7779"/>
    <w:rsid w:val="00CE011B"/>
    <w:rsid w:val="00CF4C93"/>
    <w:rsid w:val="00CF5522"/>
    <w:rsid w:val="00CF5BCB"/>
    <w:rsid w:val="00CF6971"/>
    <w:rsid w:val="00D0478F"/>
    <w:rsid w:val="00D13E58"/>
    <w:rsid w:val="00D16D35"/>
    <w:rsid w:val="00D21041"/>
    <w:rsid w:val="00D25C61"/>
    <w:rsid w:val="00D26A6A"/>
    <w:rsid w:val="00D32DD8"/>
    <w:rsid w:val="00D33016"/>
    <w:rsid w:val="00D356BB"/>
    <w:rsid w:val="00D369D6"/>
    <w:rsid w:val="00D4582C"/>
    <w:rsid w:val="00D47CDB"/>
    <w:rsid w:val="00D57598"/>
    <w:rsid w:val="00D65535"/>
    <w:rsid w:val="00D67274"/>
    <w:rsid w:val="00D70ADA"/>
    <w:rsid w:val="00D75158"/>
    <w:rsid w:val="00D85DE7"/>
    <w:rsid w:val="00DB2E45"/>
    <w:rsid w:val="00DB36B7"/>
    <w:rsid w:val="00DC0A47"/>
    <w:rsid w:val="00DC156D"/>
    <w:rsid w:val="00DD168A"/>
    <w:rsid w:val="00DD1C12"/>
    <w:rsid w:val="00DD4095"/>
    <w:rsid w:val="00DD4101"/>
    <w:rsid w:val="00DD648C"/>
    <w:rsid w:val="00DE66D8"/>
    <w:rsid w:val="00DF3DEB"/>
    <w:rsid w:val="00DF3EEA"/>
    <w:rsid w:val="00DF7FCB"/>
    <w:rsid w:val="00E00DC6"/>
    <w:rsid w:val="00E01410"/>
    <w:rsid w:val="00E278F3"/>
    <w:rsid w:val="00E437E1"/>
    <w:rsid w:val="00E44D35"/>
    <w:rsid w:val="00E461FF"/>
    <w:rsid w:val="00E47B5C"/>
    <w:rsid w:val="00E55269"/>
    <w:rsid w:val="00E60542"/>
    <w:rsid w:val="00E606BE"/>
    <w:rsid w:val="00E65B75"/>
    <w:rsid w:val="00E745E8"/>
    <w:rsid w:val="00E76CDF"/>
    <w:rsid w:val="00E82124"/>
    <w:rsid w:val="00E929C9"/>
    <w:rsid w:val="00E9327C"/>
    <w:rsid w:val="00E96192"/>
    <w:rsid w:val="00EA337D"/>
    <w:rsid w:val="00EA3CEC"/>
    <w:rsid w:val="00EA4766"/>
    <w:rsid w:val="00EA4AAA"/>
    <w:rsid w:val="00EA5AC5"/>
    <w:rsid w:val="00EB04A9"/>
    <w:rsid w:val="00EB5199"/>
    <w:rsid w:val="00EB5375"/>
    <w:rsid w:val="00EB593C"/>
    <w:rsid w:val="00EC3D6D"/>
    <w:rsid w:val="00EC3E34"/>
    <w:rsid w:val="00ED488C"/>
    <w:rsid w:val="00EF3890"/>
    <w:rsid w:val="00F10FDF"/>
    <w:rsid w:val="00F11792"/>
    <w:rsid w:val="00F11F13"/>
    <w:rsid w:val="00F40458"/>
    <w:rsid w:val="00F40C11"/>
    <w:rsid w:val="00F522BE"/>
    <w:rsid w:val="00F57895"/>
    <w:rsid w:val="00F57C43"/>
    <w:rsid w:val="00F65A27"/>
    <w:rsid w:val="00F71330"/>
    <w:rsid w:val="00F75D52"/>
    <w:rsid w:val="00F93EEC"/>
    <w:rsid w:val="00F95F2C"/>
    <w:rsid w:val="00FA5C7C"/>
    <w:rsid w:val="00FB389B"/>
    <w:rsid w:val="00FB6123"/>
    <w:rsid w:val="00FB71C8"/>
    <w:rsid w:val="00FD0127"/>
    <w:rsid w:val="00FD26D1"/>
    <w:rsid w:val="00FD38A9"/>
    <w:rsid w:val="00FD74DD"/>
    <w:rsid w:val="00FE7FD6"/>
    <w:rsid w:val="00FF132C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80005C1"/>
  <w15:chartTrackingRefBased/>
  <w15:docId w15:val="{85A5382B-8967-4DC2-95BF-394F119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79D4"/>
    <w:rPr>
      <w:sz w:val="28"/>
      <w:szCs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179D4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9179D4"/>
    <w:pPr>
      <w:ind w:firstLine="709"/>
      <w:jc w:val="both"/>
    </w:pPr>
    <w:rPr>
      <w:szCs w:val="20"/>
      <w:lang w:val="uk-UA"/>
    </w:rPr>
  </w:style>
  <w:style w:type="paragraph" w:styleId="HTML">
    <w:name w:val="HTML Preformatted"/>
    <w:basedOn w:val="a"/>
    <w:rsid w:val="00917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msonormalcxsplast">
    <w:name w:val="msonormalcxsplast"/>
    <w:basedOn w:val="a"/>
    <w:rsid w:val="009179D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No Spacing"/>
    <w:qFormat/>
    <w:rsid w:val="009179D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6903D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6903DD"/>
  </w:style>
  <w:style w:type="paragraph" w:styleId="a8">
    <w:name w:val="footer"/>
    <w:basedOn w:val="a"/>
    <w:link w:val="a9"/>
    <w:rsid w:val="00893F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93F7B"/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A65A1B"/>
    <w:rPr>
      <w:sz w:val="28"/>
      <w:szCs w:val="28"/>
    </w:rPr>
  </w:style>
  <w:style w:type="character" w:customStyle="1" w:styleId="rvts23">
    <w:name w:val="rvts23"/>
    <w:rsid w:val="00913B29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E53ED"/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160B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60B8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">
    <w:name w:val="rvts9"/>
    <w:rsid w:val="00B67A0C"/>
  </w:style>
  <w:style w:type="table" w:styleId="ac">
    <w:name w:val="Table Grid"/>
    <w:basedOn w:val="a1"/>
    <w:uiPriority w:val="39"/>
    <w:rsid w:val="00A42308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5C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Hyperlink"/>
    <w:rsid w:val="00D85DE7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D8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2492</Words>
  <Characters>14208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NKAU</Company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Alekseeva</dc:creator>
  <cp:keywords/>
  <cp:lastModifiedBy>Денис Петров</cp:lastModifiedBy>
  <cp:revision>2</cp:revision>
  <cp:lastPrinted>2018-11-01T13:44:00Z</cp:lastPrinted>
  <dcterms:created xsi:type="dcterms:W3CDTF">2019-10-09T12:50:00Z</dcterms:created>
  <dcterms:modified xsi:type="dcterms:W3CDTF">2019-10-09T12:50:00Z</dcterms:modified>
</cp:coreProperties>
</file>