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E7295" w14:textId="77777777" w:rsidR="00B50540" w:rsidRPr="0051575F" w:rsidRDefault="00B50540" w:rsidP="001D6F9F">
      <w:pPr>
        <w:spacing w:line="276" w:lineRule="auto"/>
        <w:jc w:val="center"/>
        <w:rPr>
          <w:b/>
          <w:bCs/>
          <w:sz w:val="28"/>
          <w:szCs w:val="28"/>
          <w:lang w:val="uk-UA"/>
        </w:rPr>
      </w:pPr>
      <w:r w:rsidRPr="0051575F">
        <w:rPr>
          <w:b/>
          <w:bCs/>
          <w:sz w:val="28"/>
          <w:szCs w:val="28"/>
          <w:lang w:val="uk-UA"/>
        </w:rPr>
        <w:t xml:space="preserve">АНАЛІЗ </w:t>
      </w:r>
      <w:r w:rsidR="00FB05BC" w:rsidRPr="0051575F">
        <w:rPr>
          <w:b/>
          <w:bCs/>
          <w:sz w:val="28"/>
          <w:szCs w:val="28"/>
          <w:lang w:val="uk-UA"/>
        </w:rPr>
        <w:t xml:space="preserve">РЕГУЛЯТОРНОГО </w:t>
      </w:r>
      <w:r w:rsidRPr="0051575F">
        <w:rPr>
          <w:b/>
          <w:bCs/>
          <w:sz w:val="28"/>
          <w:szCs w:val="28"/>
          <w:lang w:val="uk-UA"/>
        </w:rPr>
        <w:t>ВПЛИВУ</w:t>
      </w:r>
    </w:p>
    <w:p w14:paraId="222E9ECA" w14:textId="5E2BADE2" w:rsidR="0049103B" w:rsidRPr="0051575F" w:rsidRDefault="009C2C13" w:rsidP="001D6F9F">
      <w:pPr>
        <w:spacing w:line="276" w:lineRule="auto"/>
        <w:jc w:val="center"/>
        <w:rPr>
          <w:b/>
          <w:bCs/>
          <w:sz w:val="28"/>
          <w:szCs w:val="28"/>
          <w:lang w:val="uk-UA"/>
        </w:rPr>
      </w:pPr>
      <w:proofErr w:type="spellStart"/>
      <w:r>
        <w:rPr>
          <w:b/>
          <w:bCs/>
          <w:sz w:val="28"/>
          <w:szCs w:val="28"/>
          <w:lang w:val="uk-UA"/>
        </w:rPr>
        <w:t>проєкт</w:t>
      </w:r>
      <w:r w:rsidR="0049103B" w:rsidRPr="0051575F">
        <w:rPr>
          <w:b/>
          <w:bCs/>
          <w:sz w:val="28"/>
          <w:szCs w:val="28"/>
          <w:lang w:val="uk-UA"/>
        </w:rPr>
        <w:t>у</w:t>
      </w:r>
      <w:proofErr w:type="spellEnd"/>
      <w:r w:rsidR="0049103B" w:rsidRPr="0051575F">
        <w:rPr>
          <w:b/>
          <w:bCs/>
          <w:sz w:val="28"/>
          <w:szCs w:val="28"/>
          <w:lang w:val="uk-UA"/>
        </w:rPr>
        <w:t xml:space="preserve"> постанови Кабінету Міністрів</w:t>
      </w:r>
      <w:r w:rsidR="008715B2" w:rsidRPr="0051575F">
        <w:rPr>
          <w:b/>
          <w:bCs/>
          <w:sz w:val="28"/>
          <w:szCs w:val="28"/>
          <w:lang w:val="uk-UA"/>
        </w:rPr>
        <w:t xml:space="preserve"> України </w:t>
      </w:r>
      <w:r w:rsidR="00C534EE" w:rsidRPr="0051575F">
        <w:rPr>
          <w:b/>
          <w:bCs/>
          <w:sz w:val="28"/>
          <w:szCs w:val="28"/>
          <w:lang w:val="uk-UA"/>
        </w:rPr>
        <w:t xml:space="preserve">«Про затвердження критеріїв, за якими оцінюється ступінь ризику від провадження господарської діяльності </w:t>
      </w:r>
      <w:r w:rsidR="001D3FCB" w:rsidRPr="0051575F">
        <w:rPr>
          <w:b/>
          <w:bCs/>
          <w:sz w:val="28"/>
          <w:szCs w:val="28"/>
          <w:lang w:val="uk-UA"/>
        </w:rPr>
        <w:t xml:space="preserve">у сферах </w:t>
      </w:r>
      <w:r w:rsidR="00C534EE" w:rsidRPr="0051575F">
        <w:rPr>
          <w:b/>
          <w:bCs/>
          <w:sz w:val="28"/>
          <w:szCs w:val="28"/>
          <w:lang w:val="uk-UA"/>
        </w:rPr>
        <w:t>електроенергетики та теплопостачання</w:t>
      </w:r>
      <w:r w:rsidR="001D3FCB" w:rsidRPr="0051575F">
        <w:rPr>
          <w:b/>
          <w:bCs/>
          <w:sz w:val="28"/>
          <w:szCs w:val="28"/>
          <w:lang w:val="uk-UA"/>
        </w:rPr>
        <w:t xml:space="preserve"> </w:t>
      </w:r>
      <w:r w:rsidR="00C534EE" w:rsidRPr="0051575F">
        <w:rPr>
          <w:b/>
          <w:bCs/>
          <w:sz w:val="28"/>
          <w:szCs w:val="28"/>
          <w:lang w:val="uk-UA"/>
        </w:rPr>
        <w:t>і визначається періодичність здійснення</w:t>
      </w:r>
      <w:r w:rsidR="00DE358F">
        <w:rPr>
          <w:b/>
          <w:bCs/>
          <w:sz w:val="28"/>
          <w:szCs w:val="28"/>
          <w:lang w:val="uk-UA"/>
        </w:rPr>
        <w:t xml:space="preserve"> планових</w:t>
      </w:r>
      <w:r w:rsidR="00C534EE" w:rsidRPr="0051575F">
        <w:rPr>
          <w:b/>
          <w:bCs/>
          <w:sz w:val="28"/>
          <w:szCs w:val="28"/>
          <w:lang w:val="uk-UA"/>
        </w:rPr>
        <w:t xml:space="preserve"> заходів державного нагляду (контролю) Державною інспекцією енергетичного нагляду </w:t>
      </w:r>
      <w:r w:rsidR="00C534EE" w:rsidRPr="0051575F">
        <w:rPr>
          <w:b/>
          <w:sz w:val="28"/>
          <w:lang w:val="uk-UA"/>
        </w:rPr>
        <w:t xml:space="preserve">та визнання </w:t>
      </w:r>
      <w:r w:rsidR="00C534EE" w:rsidRPr="0051575F">
        <w:rPr>
          <w:b/>
          <w:spacing w:val="-6"/>
          <w:sz w:val="28"/>
          <w:lang w:val="uk-UA"/>
        </w:rPr>
        <w:t>такими, що втратили чинність, деяких постанов Кабінету Міністрів України</w:t>
      </w:r>
      <w:r w:rsidR="00C534EE" w:rsidRPr="0051575F">
        <w:rPr>
          <w:b/>
          <w:bCs/>
          <w:spacing w:val="-6"/>
          <w:sz w:val="28"/>
          <w:szCs w:val="28"/>
          <w:lang w:val="uk-UA"/>
        </w:rPr>
        <w:t>»</w:t>
      </w:r>
      <w:r w:rsidR="0049103B" w:rsidRPr="0051575F">
        <w:rPr>
          <w:b/>
          <w:bCs/>
          <w:sz w:val="28"/>
          <w:szCs w:val="28"/>
          <w:lang w:val="uk-UA"/>
        </w:rPr>
        <w:t xml:space="preserve"> </w:t>
      </w:r>
    </w:p>
    <w:p w14:paraId="718E6AFF" w14:textId="77777777" w:rsidR="005908AE" w:rsidRPr="0051575F" w:rsidRDefault="005908AE" w:rsidP="001D6F9F">
      <w:pPr>
        <w:spacing w:line="276" w:lineRule="auto"/>
        <w:ind w:firstLine="720"/>
        <w:jc w:val="both"/>
        <w:rPr>
          <w:sz w:val="28"/>
          <w:szCs w:val="28"/>
          <w:lang w:val="uk-UA"/>
        </w:rPr>
      </w:pPr>
    </w:p>
    <w:p w14:paraId="7FAB9AA4" w14:textId="77777777" w:rsidR="000D55E1" w:rsidRPr="0051575F" w:rsidRDefault="00BF24B3" w:rsidP="001D6F9F">
      <w:pPr>
        <w:tabs>
          <w:tab w:val="left" w:pos="9355"/>
        </w:tabs>
        <w:spacing w:line="276" w:lineRule="auto"/>
        <w:ind w:firstLine="540"/>
        <w:jc w:val="center"/>
        <w:rPr>
          <w:b/>
          <w:sz w:val="28"/>
          <w:szCs w:val="28"/>
          <w:shd w:val="clear" w:color="auto" w:fill="FFFFFF"/>
          <w:lang w:val="uk-UA"/>
        </w:rPr>
      </w:pPr>
      <w:r w:rsidRPr="0051575F">
        <w:rPr>
          <w:b/>
          <w:sz w:val="28"/>
          <w:szCs w:val="28"/>
          <w:lang w:val="uk-UA"/>
        </w:rPr>
        <w:t>І</w:t>
      </w:r>
      <w:r w:rsidR="004E3BF3" w:rsidRPr="0051575F">
        <w:rPr>
          <w:b/>
          <w:sz w:val="28"/>
          <w:szCs w:val="28"/>
          <w:lang w:val="uk-UA"/>
        </w:rPr>
        <w:t xml:space="preserve">. </w:t>
      </w:r>
      <w:r w:rsidRPr="0051575F">
        <w:rPr>
          <w:b/>
          <w:sz w:val="28"/>
          <w:szCs w:val="28"/>
          <w:shd w:val="clear" w:color="auto" w:fill="FFFFFF"/>
          <w:lang w:val="uk-UA"/>
        </w:rPr>
        <w:t>Визначення проблеми</w:t>
      </w:r>
    </w:p>
    <w:p w14:paraId="755875E5" w14:textId="77777777" w:rsidR="00D2394E" w:rsidRPr="0051575F" w:rsidRDefault="001712E1" w:rsidP="001D6F9F">
      <w:pPr>
        <w:tabs>
          <w:tab w:val="left" w:pos="720"/>
        </w:tabs>
        <w:spacing w:after="60" w:line="276" w:lineRule="auto"/>
        <w:ind w:firstLine="720"/>
        <w:contextualSpacing/>
        <w:jc w:val="both"/>
        <w:rPr>
          <w:sz w:val="28"/>
          <w:szCs w:val="28"/>
          <w:lang w:val="uk-UA"/>
        </w:rPr>
      </w:pPr>
      <w:r w:rsidRPr="0051575F">
        <w:rPr>
          <w:sz w:val="28"/>
          <w:szCs w:val="28"/>
          <w:lang w:val="uk-UA"/>
        </w:rPr>
        <w:t>А</w:t>
      </w:r>
      <w:r w:rsidR="00D2394E" w:rsidRPr="0051575F">
        <w:rPr>
          <w:sz w:val="28"/>
          <w:szCs w:val="28"/>
          <w:lang w:val="uk-UA"/>
        </w:rPr>
        <w:t>бзац</w:t>
      </w:r>
      <w:r w:rsidRPr="0051575F">
        <w:rPr>
          <w:sz w:val="28"/>
          <w:szCs w:val="28"/>
          <w:lang w:val="uk-UA"/>
        </w:rPr>
        <w:t>ом</w:t>
      </w:r>
      <w:r w:rsidR="00D2394E" w:rsidRPr="0051575F">
        <w:rPr>
          <w:sz w:val="28"/>
          <w:szCs w:val="28"/>
          <w:lang w:val="uk-UA"/>
        </w:rPr>
        <w:t xml:space="preserve"> п’ят</w:t>
      </w:r>
      <w:r w:rsidRPr="0051575F">
        <w:rPr>
          <w:sz w:val="28"/>
          <w:szCs w:val="28"/>
          <w:lang w:val="uk-UA"/>
        </w:rPr>
        <w:t>им</w:t>
      </w:r>
      <w:r w:rsidR="00D2394E" w:rsidRPr="0051575F">
        <w:rPr>
          <w:sz w:val="28"/>
          <w:szCs w:val="28"/>
          <w:lang w:val="uk-UA"/>
        </w:rPr>
        <w:t xml:space="preserve"> частини другої статті 5 Закону </w:t>
      </w:r>
      <w:r w:rsidR="00FB05BC" w:rsidRPr="0051575F">
        <w:rPr>
          <w:rFonts w:eastAsia="Times New Roman"/>
          <w:sz w:val="28"/>
          <w:szCs w:val="28"/>
          <w:lang w:val="uk-UA" w:eastAsia="uk-UA"/>
        </w:rPr>
        <w:t xml:space="preserve">України </w:t>
      </w:r>
      <w:r w:rsidR="00FB05BC" w:rsidRPr="0051575F">
        <w:rPr>
          <w:rFonts w:eastAsia="Times New Roman"/>
          <w:bCs/>
          <w:sz w:val="28"/>
          <w:szCs w:val="28"/>
          <w:lang w:val="uk-UA" w:eastAsia="uk-UA"/>
        </w:rPr>
        <w:t>«Про основні засади державного нагляду (контролю) у сфері господарської діяльності</w:t>
      </w:r>
      <w:r w:rsidR="00FB05BC" w:rsidRPr="0051575F">
        <w:rPr>
          <w:rFonts w:eastAsia="Times New Roman"/>
          <w:sz w:val="28"/>
          <w:szCs w:val="28"/>
          <w:lang w:val="uk-UA" w:eastAsia="uk-UA"/>
        </w:rPr>
        <w:t xml:space="preserve">» (далі – Закон) </w:t>
      </w:r>
      <w:r w:rsidR="00D2394E" w:rsidRPr="0051575F">
        <w:rPr>
          <w:sz w:val="28"/>
          <w:szCs w:val="28"/>
          <w:lang w:val="uk-UA"/>
        </w:rPr>
        <w:t>визначено, що залежно від ступеня ризику органом державного нагляду (контролю) визначається періодичність проведення планових заходів державного нагляду (контролю).</w:t>
      </w:r>
    </w:p>
    <w:p w14:paraId="5DAFB6D2" w14:textId="77777777" w:rsidR="00710A56" w:rsidRPr="0051575F" w:rsidRDefault="00D04B94" w:rsidP="001D6F9F">
      <w:pPr>
        <w:tabs>
          <w:tab w:val="left" w:pos="720"/>
        </w:tabs>
        <w:spacing w:after="60" w:line="276" w:lineRule="auto"/>
        <w:ind w:firstLine="720"/>
        <w:contextualSpacing/>
        <w:jc w:val="both"/>
        <w:rPr>
          <w:sz w:val="28"/>
          <w:szCs w:val="28"/>
          <w:lang w:val="uk-UA"/>
        </w:rPr>
      </w:pPr>
      <w:r w:rsidRPr="0051575F">
        <w:rPr>
          <w:sz w:val="28"/>
          <w:szCs w:val="28"/>
          <w:lang w:val="uk-UA"/>
        </w:rPr>
        <w:t>Відповідно до абзацу шостого частини другої статті</w:t>
      </w:r>
      <w:r w:rsidR="004A0687" w:rsidRPr="0051575F">
        <w:rPr>
          <w:sz w:val="28"/>
          <w:szCs w:val="28"/>
          <w:lang w:val="uk-UA"/>
        </w:rPr>
        <w:t xml:space="preserve"> 5 Закону</w:t>
      </w:r>
      <w:r w:rsidR="00AB022A" w:rsidRPr="0051575F">
        <w:rPr>
          <w:sz w:val="28"/>
          <w:szCs w:val="28"/>
          <w:lang w:val="uk-UA"/>
        </w:rPr>
        <w:t xml:space="preserve"> </w:t>
      </w:r>
      <w:r w:rsidR="00710A56" w:rsidRPr="0051575F">
        <w:rPr>
          <w:sz w:val="28"/>
          <w:szCs w:val="28"/>
          <w:lang w:val="uk-UA"/>
        </w:rPr>
        <w:t>визначено, що критерії, за якими оцінюється ступінь ризику від здійснення господарської діяльності і періодичність проведення планових заходів, затверджуються Кабінетом Міністрів України.</w:t>
      </w:r>
    </w:p>
    <w:p w14:paraId="39056E08" w14:textId="77777777" w:rsidR="00DB6D58" w:rsidRPr="0051575F" w:rsidRDefault="00FB05BC" w:rsidP="00DB6D58">
      <w:pPr>
        <w:tabs>
          <w:tab w:val="left" w:pos="720"/>
        </w:tabs>
        <w:spacing w:after="60" w:line="276" w:lineRule="auto"/>
        <w:ind w:firstLine="720"/>
        <w:contextualSpacing/>
        <w:jc w:val="both"/>
        <w:rPr>
          <w:sz w:val="32"/>
          <w:szCs w:val="28"/>
          <w:lang w:val="uk-UA"/>
        </w:rPr>
      </w:pPr>
      <w:r w:rsidRPr="0051575F">
        <w:rPr>
          <w:sz w:val="28"/>
          <w:szCs w:val="28"/>
          <w:lang w:val="uk-UA"/>
        </w:rPr>
        <w:t>З моменту прийняття пост</w:t>
      </w:r>
      <w:bookmarkStart w:id="0" w:name="_GoBack"/>
      <w:bookmarkEnd w:id="0"/>
      <w:r w:rsidRPr="0051575F">
        <w:rPr>
          <w:sz w:val="28"/>
          <w:szCs w:val="28"/>
          <w:lang w:val="uk-UA"/>
        </w:rPr>
        <w:t xml:space="preserve">анови </w:t>
      </w:r>
      <w:r w:rsidR="00CE6FA8" w:rsidRPr="0051575F">
        <w:rPr>
          <w:sz w:val="28"/>
          <w:szCs w:val="28"/>
          <w:lang w:val="uk-UA"/>
        </w:rPr>
        <w:t xml:space="preserve">Кабінету Міністрів України </w:t>
      </w:r>
      <w:r w:rsidRPr="0051575F">
        <w:rPr>
          <w:sz w:val="28"/>
          <w:lang w:val="uk-UA"/>
        </w:rPr>
        <w:t xml:space="preserve">«Про затвердження критеріїв, за якими оцінюється ступінь ризику від провадження господарської діяльності в галузі електроенергетики та сфері теплопостачання і визначається періодичність здійснення заходів державного нагляду (контролю) Державною інспекцією енергетичного нагляду» </w:t>
      </w:r>
      <w:r w:rsidR="00CE6FA8" w:rsidRPr="0051575F">
        <w:rPr>
          <w:sz w:val="28"/>
          <w:lang w:val="uk-UA"/>
        </w:rPr>
        <w:t>від 22</w:t>
      </w:r>
      <w:r w:rsidR="00CE6FA8" w:rsidRPr="0051575F">
        <w:rPr>
          <w:lang w:val="uk-UA"/>
        </w:rPr>
        <w:t>.</w:t>
      </w:r>
      <w:r w:rsidR="00CE6FA8" w:rsidRPr="0051575F">
        <w:rPr>
          <w:sz w:val="28"/>
          <w:lang w:val="uk-UA"/>
        </w:rPr>
        <w:t>02</w:t>
      </w:r>
      <w:r w:rsidR="00CE6FA8" w:rsidRPr="0051575F">
        <w:rPr>
          <w:lang w:val="uk-UA"/>
        </w:rPr>
        <w:t>.</w:t>
      </w:r>
      <w:r w:rsidR="00CE6FA8" w:rsidRPr="0051575F">
        <w:rPr>
          <w:sz w:val="28"/>
          <w:lang w:val="uk-UA"/>
        </w:rPr>
        <w:t xml:space="preserve">2008 № 75 </w:t>
      </w:r>
      <w:r w:rsidRPr="0051575F">
        <w:rPr>
          <w:sz w:val="28"/>
          <w:lang w:val="uk-UA"/>
        </w:rPr>
        <w:t xml:space="preserve">(далі – </w:t>
      </w:r>
      <w:r w:rsidR="00CE6FA8" w:rsidRPr="0051575F">
        <w:rPr>
          <w:sz w:val="28"/>
          <w:lang w:val="uk-UA"/>
        </w:rPr>
        <w:t>П</w:t>
      </w:r>
      <w:r w:rsidRPr="0051575F">
        <w:rPr>
          <w:sz w:val="28"/>
          <w:lang w:val="uk-UA"/>
        </w:rPr>
        <w:t>останова № 75)</w:t>
      </w:r>
      <w:r w:rsidR="00592564" w:rsidRPr="0051575F">
        <w:rPr>
          <w:sz w:val="28"/>
          <w:lang w:val="uk-UA"/>
        </w:rPr>
        <w:t xml:space="preserve"> законодавство зазнало суттєвих змін, зокрема, прийнято Закон України «Про ринок електричної енергії», </w:t>
      </w:r>
      <w:proofErr w:type="spellStart"/>
      <w:r w:rsidR="00592564" w:rsidRPr="0051575F">
        <w:rPr>
          <w:sz w:val="28"/>
          <w:lang w:val="uk-UA"/>
        </w:rPr>
        <w:t>внесено</w:t>
      </w:r>
      <w:proofErr w:type="spellEnd"/>
      <w:r w:rsidR="00592564" w:rsidRPr="0051575F">
        <w:rPr>
          <w:sz w:val="28"/>
          <w:lang w:val="uk-UA"/>
        </w:rPr>
        <w:t xml:space="preserve"> зміни до Закону України «Про основні засади державного нагляду (контролю) у сфері господарської діяльності», прийнято постанови </w:t>
      </w:r>
      <w:r w:rsidR="00DB6D58" w:rsidRPr="0051575F">
        <w:rPr>
          <w:sz w:val="28"/>
          <w:lang w:val="uk-UA"/>
        </w:rPr>
        <w:t>Кабінету Міністрів України від 10.09.2014 № 442 «</w:t>
      </w:r>
      <w:r w:rsidR="00DB6D58" w:rsidRPr="0051575F">
        <w:rPr>
          <w:rStyle w:val="rvts23"/>
          <w:sz w:val="28"/>
          <w:lang w:val="uk-UA"/>
        </w:rPr>
        <w:t>Про оптимізацію системи центральних органів виконавчої влади</w:t>
      </w:r>
      <w:r w:rsidR="00DB6D58" w:rsidRPr="0051575F">
        <w:rPr>
          <w:sz w:val="28"/>
          <w:lang w:val="uk-UA"/>
        </w:rPr>
        <w:t>», від 10</w:t>
      </w:r>
      <w:r w:rsidR="00DB6D58" w:rsidRPr="0051575F">
        <w:rPr>
          <w:lang w:val="uk-UA"/>
        </w:rPr>
        <w:t>.05.</w:t>
      </w:r>
      <w:r w:rsidR="00DB6D58" w:rsidRPr="0051575F">
        <w:rPr>
          <w:sz w:val="28"/>
          <w:lang w:val="uk-UA"/>
        </w:rPr>
        <w:t>2018</w:t>
      </w:r>
      <w:r w:rsidR="00DB6D58" w:rsidRPr="0051575F">
        <w:rPr>
          <w:lang w:val="uk-UA"/>
        </w:rPr>
        <w:t xml:space="preserve"> </w:t>
      </w:r>
      <w:r w:rsidR="00DB6D58" w:rsidRPr="0051575F">
        <w:rPr>
          <w:sz w:val="28"/>
          <w:lang w:val="uk-UA"/>
        </w:rPr>
        <w:t xml:space="preserve">№ 342 «Про затвердження </w:t>
      </w:r>
      <w:proofErr w:type="spellStart"/>
      <w:r w:rsidR="00DB6D58" w:rsidRPr="0051575F">
        <w:rPr>
          <w:sz w:val="28"/>
          <w:lang w:val="uk-UA"/>
        </w:rPr>
        <w:t>методик</w:t>
      </w:r>
      <w:proofErr w:type="spellEnd"/>
      <w:r w:rsidR="00DB6D58" w:rsidRPr="0051575F">
        <w:rPr>
          <w:sz w:val="28"/>
          <w:lang w:val="uk-UA"/>
        </w:rPr>
        <w:t xml:space="preserve">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 та від 14</w:t>
      </w:r>
      <w:r w:rsidR="00DB6D58" w:rsidRPr="0051575F">
        <w:rPr>
          <w:lang w:val="uk-UA"/>
        </w:rPr>
        <w:t>.02.</w:t>
      </w:r>
      <w:r w:rsidR="00DB6D58" w:rsidRPr="0051575F">
        <w:rPr>
          <w:sz w:val="28"/>
          <w:lang w:val="uk-UA"/>
        </w:rPr>
        <w:t>2018 № 77 «Деякі питання Державної інспекції енергетичного нагляду України»</w:t>
      </w:r>
      <w:r w:rsidR="00592564" w:rsidRPr="0051575F">
        <w:rPr>
          <w:sz w:val="28"/>
          <w:lang w:val="uk-UA"/>
        </w:rPr>
        <w:t>.</w:t>
      </w:r>
    </w:p>
    <w:p w14:paraId="205AF749" w14:textId="77777777" w:rsidR="00AB022A" w:rsidRPr="0051575F" w:rsidRDefault="00AB022A" w:rsidP="001D6F9F">
      <w:pPr>
        <w:spacing w:line="276" w:lineRule="auto"/>
        <w:ind w:firstLine="708"/>
        <w:jc w:val="both"/>
        <w:rPr>
          <w:rFonts w:eastAsia="Times New Roman"/>
          <w:sz w:val="28"/>
          <w:szCs w:val="28"/>
          <w:lang w:val="uk-UA" w:eastAsia="uk-UA"/>
        </w:rPr>
      </w:pPr>
      <w:r w:rsidRPr="0051575F">
        <w:rPr>
          <w:rFonts w:eastAsia="Times New Roman"/>
          <w:sz w:val="28"/>
          <w:szCs w:val="28"/>
          <w:lang w:val="uk-UA" w:eastAsia="uk-UA"/>
        </w:rPr>
        <w:t xml:space="preserve">Критерії, за якими оцінюється ступінь ризику від провадження господарської діяльності в частині дотримання вимог законодавства </w:t>
      </w:r>
      <w:r w:rsidR="00D4215B" w:rsidRPr="0051575F">
        <w:rPr>
          <w:rFonts w:eastAsia="Times New Roman"/>
          <w:sz w:val="28"/>
          <w:szCs w:val="28"/>
          <w:lang w:val="uk-UA" w:eastAsia="uk-UA"/>
        </w:rPr>
        <w:t>у галузі електроенергетики та сфері теплопостачання</w:t>
      </w:r>
      <w:r w:rsidR="00592564" w:rsidRPr="0051575F">
        <w:rPr>
          <w:rFonts w:eastAsia="Times New Roman"/>
          <w:sz w:val="28"/>
          <w:szCs w:val="28"/>
          <w:lang w:val="uk-UA" w:eastAsia="uk-UA"/>
        </w:rPr>
        <w:t xml:space="preserve">, що зазначені у </w:t>
      </w:r>
      <w:r w:rsidR="00592564" w:rsidRPr="0051575F">
        <w:rPr>
          <w:sz w:val="28"/>
          <w:lang w:val="uk-UA"/>
        </w:rPr>
        <w:t>Постанові № 75,</w:t>
      </w:r>
      <w:r w:rsidRPr="0051575F">
        <w:rPr>
          <w:rFonts w:eastAsia="Times New Roman"/>
          <w:sz w:val="28"/>
          <w:szCs w:val="28"/>
          <w:lang w:val="uk-UA" w:eastAsia="uk-UA"/>
        </w:rPr>
        <w:t xml:space="preserve"> на сьогодні</w:t>
      </w:r>
      <w:r w:rsidR="00AB2EC2" w:rsidRPr="0051575F">
        <w:rPr>
          <w:rFonts w:eastAsia="Times New Roman"/>
          <w:sz w:val="28"/>
          <w:szCs w:val="28"/>
          <w:lang w:val="uk-UA" w:eastAsia="uk-UA"/>
        </w:rPr>
        <w:t xml:space="preserve"> </w:t>
      </w:r>
      <w:r w:rsidR="0043437B" w:rsidRPr="0051575F">
        <w:rPr>
          <w:rFonts w:eastAsia="Times New Roman"/>
          <w:sz w:val="28"/>
          <w:szCs w:val="28"/>
          <w:lang w:val="uk-UA" w:eastAsia="uk-UA"/>
        </w:rPr>
        <w:t>не відповіда</w:t>
      </w:r>
      <w:r w:rsidR="00592564" w:rsidRPr="0051575F">
        <w:rPr>
          <w:rFonts w:eastAsia="Times New Roman"/>
          <w:sz w:val="28"/>
          <w:szCs w:val="28"/>
          <w:lang w:val="uk-UA" w:eastAsia="uk-UA"/>
        </w:rPr>
        <w:t>ють</w:t>
      </w:r>
      <w:r w:rsidR="0043437B" w:rsidRPr="0051575F">
        <w:rPr>
          <w:rFonts w:eastAsia="Times New Roman"/>
          <w:sz w:val="28"/>
          <w:szCs w:val="28"/>
          <w:lang w:val="uk-UA" w:eastAsia="uk-UA"/>
        </w:rPr>
        <w:t xml:space="preserve"> постанові Кабінету Міністрів України </w:t>
      </w:r>
      <w:r w:rsidR="00AB2EC2" w:rsidRPr="0051575F">
        <w:rPr>
          <w:sz w:val="28"/>
          <w:lang w:val="uk-UA"/>
        </w:rPr>
        <w:t xml:space="preserve">від 10 травня </w:t>
      </w:r>
      <w:r w:rsidR="00AB2EC2" w:rsidRPr="0051575F">
        <w:rPr>
          <w:sz w:val="28"/>
          <w:lang w:val="uk-UA"/>
        </w:rPr>
        <w:lastRenderedPageBreak/>
        <w:t xml:space="preserve">2018 р. № 342 «Про затвердження </w:t>
      </w:r>
      <w:proofErr w:type="spellStart"/>
      <w:r w:rsidR="00AB2EC2" w:rsidRPr="0051575F">
        <w:rPr>
          <w:sz w:val="28"/>
          <w:lang w:val="uk-UA"/>
        </w:rPr>
        <w:t>методик</w:t>
      </w:r>
      <w:proofErr w:type="spellEnd"/>
      <w:r w:rsidR="00AB2EC2" w:rsidRPr="0051575F">
        <w:rPr>
          <w:sz w:val="28"/>
          <w:lang w:val="uk-UA"/>
        </w:rPr>
        <w:t xml:space="preserve">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а також уніфікованих форм актів, що складаються за результатами проведення планових (позапланових) заходів державного нагляду (контролю)»</w:t>
      </w:r>
      <w:r w:rsidRPr="0051575F">
        <w:rPr>
          <w:rFonts w:eastAsia="Times New Roman"/>
          <w:sz w:val="28"/>
          <w:szCs w:val="28"/>
          <w:lang w:val="uk-UA" w:eastAsia="uk-UA"/>
        </w:rPr>
        <w:t xml:space="preserve">. </w:t>
      </w:r>
      <w:r w:rsidR="00592564" w:rsidRPr="0051575F">
        <w:rPr>
          <w:rFonts w:eastAsia="Times New Roman"/>
          <w:sz w:val="28"/>
          <w:szCs w:val="28"/>
          <w:lang w:val="uk-UA" w:eastAsia="uk-UA"/>
        </w:rPr>
        <w:t>Також</w:t>
      </w:r>
      <w:r w:rsidRPr="0051575F">
        <w:rPr>
          <w:rFonts w:eastAsia="Times New Roman"/>
          <w:sz w:val="28"/>
          <w:szCs w:val="28"/>
          <w:lang w:val="uk-UA" w:eastAsia="uk-UA"/>
        </w:rPr>
        <w:t xml:space="preserve"> Постанова</w:t>
      </w:r>
      <w:r w:rsidR="00504BB4" w:rsidRPr="0051575F">
        <w:rPr>
          <w:rFonts w:eastAsia="Times New Roman"/>
          <w:sz w:val="28"/>
          <w:szCs w:val="28"/>
          <w:lang w:val="uk-UA" w:eastAsia="uk-UA"/>
        </w:rPr>
        <w:t xml:space="preserve"> № </w:t>
      </w:r>
      <w:r w:rsidR="003246DC" w:rsidRPr="0051575F">
        <w:rPr>
          <w:rFonts w:eastAsia="Times New Roman"/>
          <w:sz w:val="28"/>
          <w:szCs w:val="28"/>
          <w:lang w:val="uk-UA" w:eastAsia="uk-UA"/>
        </w:rPr>
        <w:t>75</w:t>
      </w:r>
      <w:r w:rsidRPr="0051575F">
        <w:rPr>
          <w:rFonts w:eastAsia="Times New Roman"/>
          <w:sz w:val="28"/>
          <w:szCs w:val="28"/>
          <w:lang w:val="uk-UA" w:eastAsia="uk-UA"/>
        </w:rPr>
        <w:t xml:space="preserve"> не містить виключн</w:t>
      </w:r>
      <w:r w:rsidR="001A21A1" w:rsidRPr="0051575F">
        <w:rPr>
          <w:rFonts w:eastAsia="Times New Roman"/>
          <w:sz w:val="28"/>
          <w:szCs w:val="28"/>
          <w:lang w:val="uk-UA" w:eastAsia="uk-UA"/>
        </w:rPr>
        <w:t>ого</w:t>
      </w:r>
      <w:r w:rsidRPr="0051575F">
        <w:rPr>
          <w:rFonts w:eastAsia="Times New Roman"/>
          <w:sz w:val="28"/>
          <w:szCs w:val="28"/>
          <w:lang w:val="uk-UA" w:eastAsia="uk-UA"/>
        </w:rPr>
        <w:t xml:space="preserve"> перелік</w:t>
      </w:r>
      <w:r w:rsidR="001A21A1" w:rsidRPr="0051575F">
        <w:rPr>
          <w:rFonts w:eastAsia="Times New Roman"/>
          <w:sz w:val="28"/>
          <w:szCs w:val="28"/>
          <w:lang w:val="uk-UA" w:eastAsia="uk-UA"/>
        </w:rPr>
        <w:t>у</w:t>
      </w:r>
      <w:r w:rsidRPr="0051575F">
        <w:rPr>
          <w:rFonts w:eastAsia="Times New Roman"/>
          <w:sz w:val="28"/>
          <w:szCs w:val="28"/>
          <w:lang w:val="uk-UA" w:eastAsia="uk-UA"/>
        </w:rPr>
        <w:t xml:space="preserve"> критеріїв, за якими оцінюється ступінь ризику від провадження господарської діяльності суб’єктами господарювання </w:t>
      </w:r>
      <w:r w:rsidR="00DE761C" w:rsidRPr="0051575F">
        <w:rPr>
          <w:rFonts w:eastAsia="Times New Roman"/>
          <w:sz w:val="28"/>
          <w:szCs w:val="28"/>
          <w:lang w:val="uk-UA" w:eastAsia="uk-UA"/>
        </w:rPr>
        <w:t>в галузі електроенергети</w:t>
      </w:r>
      <w:r w:rsidR="00943279" w:rsidRPr="0051575F">
        <w:rPr>
          <w:rFonts w:eastAsia="Times New Roman"/>
          <w:sz w:val="28"/>
          <w:szCs w:val="28"/>
          <w:lang w:val="uk-UA" w:eastAsia="uk-UA"/>
        </w:rPr>
        <w:t>ки</w:t>
      </w:r>
      <w:r w:rsidR="00DE761C" w:rsidRPr="0051575F">
        <w:rPr>
          <w:rFonts w:eastAsia="Times New Roman"/>
          <w:sz w:val="28"/>
          <w:szCs w:val="28"/>
          <w:lang w:val="uk-UA" w:eastAsia="uk-UA"/>
        </w:rPr>
        <w:t xml:space="preserve"> та сфері </w:t>
      </w:r>
      <w:r w:rsidR="00E26461" w:rsidRPr="0051575F">
        <w:rPr>
          <w:rFonts w:eastAsia="Times New Roman"/>
          <w:sz w:val="28"/>
          <w:szCs w:val="28"/>
          <w:lang w:val="uk-UA" w:eastAsia="uk-UA"/>
        </w:rPr>
        <w:t>теплопостачання</w:t>
      </w:r>
      <w:r w:rsidR="00802081" w:rsidRPr="0051575F">
        <w:rPr>
          <w:rFonts w:eastAsia="Times New Roman"/>
          <w:sz w:val="28"/>
          <w:szCs w:val="28"/>
          <w:lang w:val="uk-UA" w:eastAsia="uk-UA"/>
        </w:rPr>
        <w:t>, що у свою чергу</w:t>
      </w:r>
      <w:r w:rsidRPr="0051575F">
        <w:rPr>
          <w:rFonts w:eastAsia="Times New Roman"/>
          <w:sz w:val="28"/>
          <w:szCs w:val="28"/>
          <w:lang w:val="uk-UA" w:eastAsia="uk-UA"/>
        </w:rPr>
        <w:t xml:space="preserve"> не відповідає вимогам статті 5</w:t>
      </w:r>
      <w:r w:rsidR="00725129" w:rsidRPr="0051575F">
        <w:rPr>
          <w:rFonts w:eastAsia="Times New Roman"/>
          <w:sz w:val="28"/>
          <w:szCs w:val="28"/>
          <w:lang w:val="uk-UA" w:eastAsia="uk-UA"/>
        </w:rPr>
        <w:t xml:space="preserve"> Закону</w:t>
      </w:r>
      <w:r w:rsidRPr="0051575F">
        <w:rPr>
          <w:rFonts w:eastAsia="Times New Roman"/>
          <w:sz w:val="28"/>
          <w:szCs w:val="28"/>
          <w:lang w:val="uk-UA" w:eastAsia="uk-UA"/>
        </w:rPr>
        <w:t xml:space="preserve"> в частині періодичності здійснення планових заходів державного нагляду (контролю) з зазначеного питання.</w:t>
      </w:r>
    </w:p>
    <w:p w14:paraId="5CCD5ED8" w14:textId="77777777" w:rsidR="0076009C" w:rsidRPr="0051575F" w:rsidRDefault="00963D27" w:rsidP="001D6F9F">
      <w:pPr>
        <w:spacing w:line="276" w:lineRule="auto"/>
        <w:ind w:firstLine="708"/>
        <w:jc w:val="both"/>
        <w:rPr>
          <w:rFonts w:eastAsia="Times New Roman"/>
          <w:bCs/>
          <w:sz w:val="28"/>
          <w:szCs w:val="28"/>
          <w:lang w:val="uk-UA" w:eastAsia="uk-UA"/>
        </w:rPr>
      </w:pPr>
      <w:r w:rsidRPr="0051575F">
        <w:rPr>
          <w:rFonts w:eastAsia="Times New Roman"/>
          <w:sz w:val="28"/>
          <w:szCs w:val="28"/>
          <w:lang w:val="uk-UA" w:eastAsia="uk-UA"/>
        </w:rPr>
        <w:t>Водночас, ключовим напрямом</w:t>
      </w:r>
      <w:r w:rsidR="00D04B94" w:rsidRPr="0051575F">
        <w:rPr>
          <w:rFonts w:eastAsia="Times New Roman"/>
          <w:sz w:val="28"/>
          <w:szCs w:val="28"/>
          <w:lang w:val="uk-UA" w:eastAsia="uk-UA"/>
        </w:rPr>
        <w:t xml:space="preserve"> реалізації Стратегії реформування системи державного н</w:t>
      </w:r>
      <w:r w:rsidRPr="0051575F">
        <w:rPr>
          <w:rFonts w:eastAsia="Times New Roman"/>
          <w:sz w:val="28"/>
          <w:szCs w:val="28"/>
          <w:lang w:val="uk-UA" w:eastAsia="uk-UA"/>
        </w:rPr>
        <w:t>агляду (контролю), схваленої</w:t>
      </w:r>
      <w:r w:rsidR="00D04B94" w:rsidRPr="0051575F">
        <w:rPr>
          <w:rFonts w:eastAsia="Times New Roman"/>
          <w:sz w:val="28"/>
          <w:szCs w:val="28"/>
          <w:lang w:val="uk-UA" w:eastAsia="uk-UA"/>
        </w:rPr>
        <w:t xml:space="preserve"> </w:t>
      </w:r>
      <w:r w:rsidR="00D04B94" w:rsidRPr="0051575F">
        <w:rPr>
          <w:rFonts w:eastAsia="Times New Roman"/>
          <w:bCs/>
          <w:sz w:val="28"/>
          <w:szCs w:val="28"/>
          <w:lang w:val="uk-UA" w:eastAsia="uk-UA"/>
        </w:rPr>
        <w:t>розпорядженням Кабінету Міністрів</w:t>
      </w:r>
      <w:r w:rsidR="00AB6B94" w:rsidRPr="0051575F">
        <w:rPr>
          <w:rFonts w:eastAsia="Times New Roman"/>
          <w:bCs/>
          <w:sz w:val="28"/>
          <w:szCs w:val="28"/>
          <w:lang w:val="uk-UA" w:eastAsia="uk-UA"/>
        </w:rPr>
        <w:t xml:space="preserve"> України</w:t>
      </w:r>
      <w:r w:rsidRPr="0051575F">
        <w:rPr>
          <w:rFonts w:eastAsia="Times New Roman"/>
          <w:bCs/>
          <w:sz w:val="28"/>
          <w:szCs w:val="28"/>
          <w:lang w:val="uk-UA" w:eastAsia="uk-UA"/>
        </w:rPr>
        <w:t xml:space="preserve"> </w:t>
      </w:r>
      <w:r w:rsidR="00D04B94" w:rsidRPr="0051575F">
        <w:rPr>
          <w:rFonts w:eastAsia="Times New Roman"/>
          <w:bCs/>
          <w:sz w:val="28"/>
          <w:szCs w:val="28"/>
          <w:lang w:val="uk-UA" w:eastAsia="uk-UA"/>
        </w:rPr>
        <w:t>від 18 грудня 2017 р. № 1020-р, є запровадження ризик-орієнтованого підходу до здійснення заходів державного нагляду (контролю) в усіх сферах</w:t>
      </w:r>
      <w:r w:rsidR="000C61AC" w:rsidRPr="0051575F">
        <w:rPr>
          <w:rFonts w:eastAsia="Times New Roman"/>
          <w:bCs/>
          <w:sz w:val="28"/>
          <w:szCs w:val="28"/>
          <w:lang w:val="uk-UA" w:eastAsia="uk-UA"/>
        </w:rPr>
        <w:t xml:space="preserve">. </w:t>
      </w:r>
    </w:p>
    <w:p w14:paraId="4DBC6E91" w14:textId="2B2A980D" w:rsidR="0043437B" w:rsidRPr="0051575F" w:rsidRDefault="00647436" w:rsidP="001D6F9F">
      <w:pPr>
        <w:spacing w:line="276" w:lineRule="auto"/>
        <w:ind w:firstLine="708"/>
        <w:jc w:val="both"/>
        <w:rPr>
          <w:rFonts w:eastAsia="Times New Roman"/>
          <w:bCs/>
          <w:sz w:val="28"/>
          <w:szCs w:val="28"/>
          <w:lang w:val="uk-UA" w:eastAsia="uk-UA"/>
        </w:rPr>
      </w:pPr>
      <w:r w:rsidRPr="0051575F">
        <w:rPr>
          <w:rFonts w:eastAsia="Times New Roman"/>
          <w:bCs/>
          <w:sz w:val="28"/>
          <w:szCs w:val="28"/>
          <w:lang w:val="uk-UA" w:eastAsia="uk-UA"/>
        </w:rPr>
        <w:t>Функції з р</w:t>
      </w:r>
      <w:r w:rsidR="0043437B" w:rsidRPr="0051575F">
        <w:rPr>
          <w:rFonts w:eastAsia="Times New Roman"/>
          <w:bCs/>
          <w:sz w:val="28"/>
          <w:szCs w:val="28"/>
          <w:lang w:val="uk-UA" w:eastAsia="uk-UA"/>
        </w:rPr>
        <w:t>еалізаці</w:t>
      </w:r>
      <w:r w:rsidRPr="0051575F">
        <w:rPr>
          <w:rFonts w:eastAsia="Times New Roman"/>
          <w:bCs/>
          <w:sz w:val="28"/>
          <w:szCs w:val="28"/>
          <w:lang w:val="uk-UA" w:eastAsia="uk-UA"/>
        </w:rPr>
        <w:t>ї</w:t>
      </w:r>
      <w:r w:rsidR="0043437B" w:rsidRPr="0051575F">
        <w:rPr>
          <w:rFonts w:eastAsia="Times New Roman"/>
          <w:bCs/>
          <w:sz w:val="28"/>
          <w:szCs w:val="28"/>
          <w:lang w:val="uk-UA" w:eastAsia="uk-UA"/>
        </w:rPr>
        <w:t xml:space="preserve"> державної політики у сфері нагляду (контролю) у галузях електроенергетики та теплопостачання</w:t>
      </w:r>
      <w:r w:rsidRPr="0051575F">
        <w:rPr>
          <w:rFonts w:eastAsia="Times New Roman"/>
          <w:bCs/>
          <w:sz w:val="28"/>
          <w:szCs w:val="28"/>
          <w:lang w:val="uk-UA" w:eastAsia="uk-UA"/>
        </w:rPr>
        <w:t>, відповідно до Положення про Державну інспекцію енергетичного нагляду України</w:t>
      </w:r>
      <w:r w:rsidR="00673546" w:rsidRPr="0051575F">
        <w:rPr>
          <w:rFonts w:eastAsia="Times New Roman"/>
          <w:bCs/>
          <w:sz w:val="28"/>
          <w:szCs w:val="28"/>
          <w:lang w:val="uk-UA" w:eastAsia="uk-UA"/>
        </w:rPr>
        <w:t xml:space="preserve">, затвердженого </w:t>
      </w:r>
      <w:r w:rsidRPr="0051575F">
        <w:rPr>
          <w:rFonts w:eastAsia="Times New Roman"/>
          <w:bCs/>
          <w:sz w:val="28"/>
          <w:szCs w:val="28"/>
          <w:lang w:val="uk-UA" w:eastAsia="uk-UA"/>
        </w:rPr>
        <w:t xml:space="preserve"> </w:t>
      </w:r>
      <w:r w:rsidR="00673546" w:rsidRPr="0051575F">
        <w:rPr>
          <w:rFonts w:eastAsia="Times New Roman"/>
          <w:bCs/>
          <w:sz w:val="28"/>
          <w:szCs w:val="28"/>
          <w:lang w:val="uk-UA" w:eastAsia="uk-UA"/>
        </w:rPr>
        <w:t>постановою Кабінету Міністрів України від 14 лютого 2018 р. № 77</w:t>
      </w:r>
      <w:r w:rsidR="00C6623B" w:rsidRPr="0051575F">
        <w:rPr>
          <w:rFonts w:eastAsia="Times New Roman"/>
          <w:bCs/>
          <w:sz w:val="28"/>
          <w:szCs w:val="28"/>
          <w:lang w:val="uk-UA" w:eastAsia="uk-UA"/>
        </w:rPr>
        <w:t>,</w:t>
      </w:r>
      <w:r w:rsidR="00673546" w:rsidRPr="0051575F">
        <w:rPr>
          <w:rFonts w:eastAsia="Times New Roman"/>
          <w:bCs/>
          <w:sz w:val="28"/>
          <w:szCs w:val="28"/>
          <w:lang w:val="uk-UA" w:eastAsia="uk-UA"/>
        </w:rPr>
        <w:t xml:space="preserve"> покладено на</w:t>
      </w:r>
      <w:r w:rsidR="00C6623B" w:rsidRPr="0051575F">
        <w:rPr>
          <w:rFonts w:eastAsia="Times New Roman"/>
          <w:bCs/>
          <w:sz w:val="28"/>
          <w:szCs w:val="28"/>
          <w:lang w:val="uk-UA" w:eastAsia="uk-UA"/>
        </w:rPr>
        <w:t xml:space="preserve"> </w:t>
      </w:r>
      <w:r w:rsidR="008D0691" w:rsidRPr="0051575F">
        <w:rPr>
          <w:rFonts w:eastAsia="Times New Roman"/>
          <w:bCs/>
          <w:sz w:val="28"/>
          <w:szCs w:val="28"/>
          <w:lang w:val="uk-UA" w:eastAsia="uk-UA"/>
        </w:rPr>
        <w:t xml:space="preserve">Державну інспекцію енергетичного нагляду України </w:t>
      </w:r>
      <w:r w:rsidR="008D0691">
        <w:rPr>
          <w:rFonts w:eastAsia="Times New Roman"/>
          <w:bCs/>
          <w:sz w:val="28"/>
          <w:szCs w:val="28"/>
          <w:lang w:val="en-US" w:eastAsia="uk-UA"/>
        </w:rPr>
        <w:t>(</w:t>
      </w:r>
      <w:proofErr w:type="spellStart"/>
      <w:r w:rsidR="00C6623B" w:rsidRPr="0051575F">
        <w:rPr>
          <w:rFonts w:eastAsia="Times New Roman"/>
          <w:bCs/>
          <w:sz w:val="28"/>
          <w:szCs w:val="28"/>
          <w:lang w:val="uk-UA" w:eastAsia="uk-UA"/>
        </w:rPr>
        <w:t>Держенергонагляд</w:t>
      </w:r>
      <w:proofErr w:type="spellEnd"/>
      <w:r w:rsidR="008D0691">
        <w:rPr>
          <w:rFonts w:eastAsia="Times New Roman"/>
          <w:bCs/>
          <w:sz w:val="28"/>
          <w:szCs w:val="28"/>
          <w:lang w:val="en-US" w:eastAsia="uk-UA"/>
        </w:rPr>
        <w:t>)</w:t>
      </w:r>
      <w:r w:rsidR="00C6623B" w:rsidRPr="0051575F">
        <w:rPr>
          <w:rFonts w:eastAsia="Times New Roman"/>
          <w:bCs/>
          <w:sz w:val="28"/>
          <w:szCs w:val="28"/>
          <w:lang w:val="uk-UA" w:eastAsia="uk-UA"/>
        </w:rPr>
        <w:t>.</w:t>
      </w:r>
    </w:p>
    <w:p w14:paraId="50EA924E" w14:textId="77777777" w:rsidR="00963D27" w:rsidRPr="0051575F" w:rsidRDefault="0076009C" w:rsidP="001D6F9F">
      <w:pPr>
        <w:spacing w:line="276" w:lineRule="auto"/>
        <w:ind w:firstLine="708"/>
        <w:jc w:val="both"/>
        <w:rPr>
          <w:rFonts w:eastAsia="Times New Roman"/>
          <w:bCs/>
          <w:sz w:val="28"/>
          <w:szCs w:val="28"/>
          <w:lang w:val="uk-UA" w:eastAsia="uk-UA"/>
        </w:rPr>
      </w:pPr>
      <w:r w:rsidRPr="0051575F">
        <w:rPr>
          <w:rFonts w:eastAsia="Times New Roman"/>
          <w:bCs/>
          <w:sz w:val="28"/>
          <w:szCs w:val="28"/>
          <w:lang w:val="uk-UA" w:eastAsia="uk-UA"/>
        </w:rPr>
        <w:t xml:space="preserve">Забезпечення ефективного державного нагляду (контролю) є важливим чинником створення </w:t>
      </w:r>
      <w:r w:rsidR="0016771C" w:rsidRPr="0051575F">
        <w:rPr>
          <w:rFonts w:eastAsia="Times New Roman"/>
          <w:bCs/>
          <w:sz w:val="28"/>
          <w:szCs w:val="28"/>
          <w:lang w:val="uk-UA" w:eastAsia="uk-UA"/>
        </w:rPr>
        <w:t>суспільства</w:t>
      </w:r>
      <w:r w:rsidR="00CE6FA8" w:rsidRPr="0051575F">
        <w:rPr>
          <w:rFonts w:eastAsia="Times New Roman"/>
          <w:bCs/>
          <w:sz w:val="28"/>
          <w:szCs w:val="28"/>
          <w:lang w:val="uk-UA" w:eastAsia="uk-UA"/>
        </w:rPr>
        <w:t xml:space="preserve"> з належним рівнем функціонування</w:t>
      </w:r>
      <w:r w:rsidR="0016771C" w:rsidRPr="0051575F">
        <w:rPr>
          <w:rFonts w:eastAsia="Times New Roman"/>
          <w:bCs/>
          <w:sz w:val="28"/>
          <w:szCs w:val="28"/>
          <w:lang w:val="uk-UA" w:eastAsia="uk-UA"/>
        </w:rPr>
        <w:t>.</w:t>
      </w:r>
      <w:r w:rsidRPr="0051575F">
        <w:rPr>
          <w:rFonts w:eastAsia="Times New Roman"/>
          <w:bCs/>
          <w:sz w:val="28"/>
          <w:szCs w:val="28"/>
          <w:lang w:val="uk-UA" w:eastAsia="uk-UA"/>
        </w:rPr>
        <w:t xml:space="preserve"> З одного боку, це основний елемент </w:t>
      </w:r>
      <w:r w:rsidR="001A21A1" w:rsidRPr="0051575F">
        <w:rPr>
          <w:rFonts w:eastAsia="Times New Roman"/>
          <w:bCs/>
          <w:sz w:val="28"/>
          <w:szCs w:val="28"/>
          <w:lang w:val="uk-UA" w:eastAsia="uk-UA"/>
        </w:rPr>
        <w:t>захисту</w:t>
      </w:r>
      <w:r w:rsidRPr="0051575F">
        <w:rPr>
          <w:rFonts w:eastAsia="Times New Roman"/>
          <w:bCs/>
          <w:sz w:val="28"/>
          <w:szCs w:val="28"/>
          <w:lang w:val="uk-UA" w:eastAsia="uk-UA"/>
        </w:rPr>
        <w:t xml:space="preserve"> </w:t>
      </w:r>
      <w:r w:rsidR="004A281F" w:rsidRPr="0051575F">
        <w:rPr>
          <w:rFonts w:eastAsia="Times New Roman"/>
          <w:bCs/>
          <w:sz w:val="28"/>
          <w:szCs w:val="28"/>
          <w:lang w:val="uk-UA" w:eastAsia="uk-UA"/>
        </w:rPr>
        <w:t xml:space="preserve">життя та </w:t>
      </w:r>
      <w:r w:rsidRPr="0051575F">
        <w:rPr>
          <w:rFonts w:eastAsia="Times New Roman"/>
          <w:bCs/>
          <w:sz w:val="28"/>
          <w:szCs w:val="28"/>
          <w:lang w:val="uk-UA" w:eastAsia="uk-UA"/>
        </w:rPr>
        <w:t>здоров</w:t>
      </w:r>
      <w:r w:rsidR="002E66BF" w:rsidRPr="0051575F">
        <w:rPr>
          <w:rFonts w:eastAsia="Times New Roman"/>
          <w:bCs/>
          <w:sz w:val="28"/>
          <w:szCs w:val="28"/>
          <w:lang w:val="uk-UA" w:eastAsia="uk-UA"/>
        </w:rPr>
        <w:t>’</w:t>
      </w:r>
      <w:r w:rsidRPr="0051575F">
        <w:rPr>
          <w:rFonts w:eastAsia="Times New Roman"/>
          <w:bCs/>
          <w:sz w:val="28"/>
          <w:szCs w:val="28"/>
          <w:lang w:val="uk-UA" w:eastAsia="uk-UA"/>
        </w:rPr>
        <w:t>я</w:t>
      </w:r>
      <w:r w:rsidR="004A281F" w:rsidRPr="0051575F">
        <w:rPr>
          <w:rFonts w:eastAsia="Times New Roman"/>
          <w:bCs/>
          <w:sz w:val="28"/>
          <w:szCs w:val="28"/>
          <w:lang w:val="uk-UA" w:eastAsia="uk-UA"/>
        </w:rPr>
        <w:t xml:space="preserve"> людей</w:t>
      </w:r>
      <w:r w:rsidRPr="0051575F">
        <w:rPr>
          <w:rFonts w:eastAsia="Times New Roman"/>
          <w:bCs/>
          <w:sz w:val="28"/>
          <w:szCs w:val="28"/>
          <w:lang w:val="uk-UA" w:eastAsia="uk-UA"/>
        </w:rPr>
        <w:t xml:space="preserve">, </w:t>
      </w:r>
      <w:r w:rsidR="00B41EDC" w:rsidRPr="0051575F">
        <w:rPr>
          <w:rFonts w:eastAsia="Times New Roman"/>
          <w:bCs/>
          <w:sz w:val="28"/>
          <w:szCs w:val="28"/>
          <w:lang w:val="uk-UA" w:eastAsia="uk-UA"/>
        </w:rPr>
        <w:t>природного довкілля</w:t>
      </w:r>
      <w:r w:rsidRPr="0051575F">
        <w:rPr>
          <w:rFonts w:eastAsia="Times New Roman"/>
          <w:bCs/>
          <w:sz w:val="28"/>
          <w:szCs w:val="28"/>
          <w:lang w:val="uk-UA" w:eastAsia="uk-UA"/>
        </w:rPr>
        <w:t>,</w:t>
      </w:r>
      <w:r w:rsidR="00E56652" w:rsidRPr="0051575F">
        <w:rPr>
          <w:rFonts w:eastAsia="Times New Roman"/>
          <w:bCs/>
          <w:sz w:val="28"/>
          <w:szCs w:val="28"/>
          <w:lang w:val="uk-UA" w:eastAsia="uk-UA"/>
        </w:rPr>
        <w:t xml:space="preserve"> підтримання енергетичної безпеки держави,</w:t>
      </w:r>
      <w:r w:rsidRPr="0051575F">
        <w:rPr>
          <w:rFonts w:eastAsia="Times New Roman"/>
          <w:bCs/>
          <w:sz w:val="28"/>
          <w:szCs w:val="28"/>
          <w:lang w:val="uk-UA" w:eastAsia="uk-UA"/>
        </w:rPr>
        <w:t xml:space="preserve"> забезпечення прав </w:t>
      </w:r>
      <w:r w:rsidR="00B41EDC" w:rsidRPr="0051575F">
        <w:rPr>
          <w:rFonts w:eastAsia="Times New Roman"/>
          <w:bCs/>
          <w:sz w:val="28"/>
          <w:szCs w:val="28"/>
          <w:lang w:val="uk-UA" w:eastAsia="uk-UA"/>
        </w:rPr>
        <w:t>людини</w:t>
      </w:r>
      <w:r w:rsidRPr="0051575F">
        <w:rPr>
          <w:rFonts w:eastAsia="Times New Roman"/>
          <w:bCs/>
          <w:sz w:val="28"/>
          <w:szCs w:val="28"/>
          <w:lang w:val="uk-UA" w:eastAsia="uk-UA"/>
        </w:rPr>
        <w:t xml:space="preserve"> та підтримки інших важливих суспільних цілей. З іншого боку, впорядкування контролюючої діяльності для зменшення тиску на бізнес та надання можливостей йому розвиватись сприяє створенню</w:t>
      </w:r>
      <w:r w:rsidR="009E3063" w:rsidRPr="0051575F">
        <w:rPr>
          <w:rFonts w:eastAsia="Times New Roman"/>
          <w:bCs/>
          <w:sz w:val="28"/>
          <w:szCs w:val="28"/>
          <w:lang w:val="uk-UA" w:eastAsia="uk-UA"/>
        </w:rPr>
        <w:t xml:space="preserve"> привабливого</w:t>
      </w:r>
      <w:r w:rsidRPr="0051575F">
        <w:rPr>
          <w:rFonts w:eastAsia="Times New Roman"/>
          <w:bCs/>
          <w:sz w:val="28"/>
          <w:szCs w:val="28"/>
          <w:lang w:val="uk-UA" w:eastAsia="uk-UA"/>
        </w:rPr>
        <w:t xml:space="preserve"> інвестиційного клімату</w:t>
      </w:r>
      <w:r w:rsidR="009E3063" w:rsidRPr="0051575F">
        <w:rPr>
          <w:rFonts w:eastAsia="Times New Roman"/>
          <w:bCs/>
          <w:sz w:val="28"/>
          <w:szCs w:val="28"/>
          <w:lang w:val="uk-UA" w:eastAsia="uk-UA"/>
        </w:rPr>
        <w:t xml:space="preserve"> в Україні</w:t>
      </w:r>
      <w:r w:rsidRPr="0051575F">
        <w:rPr>
          <w:rFonts w:eastAsia="Times New Roman"/>
          <w:bCs/>
          <w:sz w:val="28"/>
          <w:szCs w:val="28"/>
          <w:lang w:val="uk-UA" w:eastAsia="uk-UA"/>
        </w:rPr>
        <w:t>.</w:t>
      </w:r>
    </w:p>
    <w:p w14:paraId="51FBAE2D" w14:textId="77777777" w:rsidR="00B65C8C" w:rsidRPr="0051575F" w:rsidRDefault="000C61AC" w:rsidP="001D6F9F">
      <w:pPr>
        <w:spacing w:line="276" w:lineRule="auto"/>
        <w:ind w:firstLine="708"/>
        <w:jc w:val="both"/>
        <w:rPr>
          <w:rFonts w:eastAsia="Times New Roman"/>
          <w:bCs/>
          <w:sz w:val="28"/>
          <w:szCs w:val="28"/>
          <w:lang w:val="uk-UA" w:eastAsia="uk-UA"/>
        </w:rPr>
      </w:pPr>
      <w:r w:rsidRPr="0051575F">
        <w:rPr>
          <w:rFonts w:eastAsia="Times New Roman"/>
          <w:bCs/>
          <w:sz w:val="28"/>
          <w:szCs w:val="28"/>
          <w:lang w:val="uk-UA" w:eastAsia="uk-UA"/>
        </w:rPr>
        <w:t xml:space="preserve">Саме тому </w:t>
      </w:r>
      <w:r w:rsidR="00723BDB" w:rsidRPr="0051575F">
        <w:rPr>
          <w:rFonts w:eastAsia="Times New Roman"/>
          <w:bCs/>
          <w:sz w:val="28"/>
          <w:szCs w:val="28"/>
          <w:lang w:val="uk-UA" w:eastAsia="uk-UA"/>
        </w:rPr>
        <w:t xml:space="preserve">існуюча </w:t>
      </w:r>
      <w:r w:rsidR="00B65C8C" w:rsidRPr="0051575F">
        <w:rPr>
          <w:rFonts w:eastAsia="Times New Roman"/>
          <w:bCs/>
          <w:sz w:val="28"/>
          <w:szCs w:val="28"/>
          <w:lang w:val="uk-UA" w:eastAsia="uk-UA"/>
        </w:rPr>
        <w:t xml:space="preserve">проблема </w:t>
      </w:r>
      <w:r w:rsidR="00723BDB" w:rsidRPr="0051575F">
        <w:rPr>
          <w:rFonts w:eastAsia="Times New Roman"/>
          <w:bCs/>
          <w:sz w:val="28"/>
          <w:szCs w:val="28"/>
          <w:lang w:val="uk-UA" w:eastAsia="uk-UA"/>
        </w:rPr>
        <w:t xml:space="preserve">невизначеності та недосконалості </w:t>
      </w:r>
      <w:r w:rsidR="00B65C8C" w:rsidRPr="0051575F">
        <w:rPr>
          <w:rFonts w:eastAsia="Times New Roman"/>
          <w:bCs/>
          <w:sz w:val="28"/>
          <w:szCs w:val="28"/>
          <w:lang w:val="uk-UA" w:eastAsia="uk-UA"/>
        </w:rPr>
        <w:t>механізму оцінки</w:t>
      </w:r>
      <w:r w:rsidR="00FD1D14" w:rsidRPr="0051575F">
        <w:rPr>
          <w:rFonts w:eastAsia="Times New Roman"/>
          <w:bCs/>
          <w:sz w:val="28"/>
          <w:szCs w:val="28"/>
          <w:lang w:val="uk-UA" w:eastAsia="uk-UA"/>
        </w:rPr>
        <w:t xml:space="preserve"> ступен</w:t>
      </w:r>
      <w:r w:rsidR="004A281F" w:rsidRPr="0051575F">
        <w:rPr>
          <w:rFonts w:eastAsia="Times New Roman"/>
          <w:bCs/>
          <w:sz w:val="28"/>
          <w:szCs w:val="28"/>
          <w:lang w:val="uk-UA" w:eastAsia="uk-UA"/>
        </w:rPr>
        <w:t>я</w:t>
      </w:r>
      <w:r w:rsidR="00FD1D14" w:rsidRPr="0051575F">
        <w:rPr>
          <w:rFonts w:eastAsia="Times New Roman"/>
          <w:bCs/>
          <w:sz w:val="28"/>
          <w:szCs w:val="28"/>
          <w:lang w:val="uk-UA" w:eastAsia="uk-UA"/>
        </w:rPr>
        <w:t xml:space="preserve"> ризику </w:t>
      </w:r>
      <w:r w:rsidR="00B41EDC" w:rsidRPr="0051575F">
        <w:rPr>
          <w:rFonts w:eastAsia="Times New Roman"/>
          <w:bCs/>
          <w:sz w:val="28"/>
          <w:szCs w:val="28"/>
          <w:lang w:val="uk-UA" w:eastAsia="uk-UA"/>
        </w:rPr>
        <w:t xml:space="preserve">від </w:t>
      </w:r>
      <w:r w:rsidR="00FD1D14" w:rsidRPr="0051575F">
        <w:rPr>
          <w:rFonts w:eastAsia="Times New Roman"/>
          <w:bCs/>
          <w:sz w:val="28"/>
          <w:szCs w:val="28"/>
          <w:lang w:val="uk-UA" w:eastAsia="uk-UA"/>
        </w:rPr>
        <w:t xml:space="preserve">допущення в ході провадження господарської діяльності суб’єктами господарювання порушень законодавства </w:t>
      </w:r>
      <w:r w:rsidR="004A281F" w:rsidRPr="0051575F">
        <w:rPr>
          <w:rFonts w:eastAsia="Times New Roman"/>
          <w:bCs/>
          <w:sz w:val="28"/>
          <w:szCs w:val="28"/>
          <w:lang w:val="uk-UA" w:eastAsia="uk-UA"/>
        </w:rPr>
        <w:t>в галузі електроенергетики та сфері теплопостачання,</w:t>
      </w:r>
      <w:r w:rsidR="00723BDB" w:rsidRPr="0051575F">
        <w:rPr>
          <w:rFonts w:eastAsia="Times New Roman"/>
          <w:bCs/>
          <w:sz w:val="28"/>
          <w:szCs w:val="28"/>
          <w:lang w:val="uk-UA" w:eastAsia="uk-UA"/>
        </w:rPr>
        <w:t xml:space="preserve"> </w:t>
      </w:r>
      <w:r w:rsidR="00A57525" w:rsidRPr="0051575F">
        <w:rPr>
          <w:rFonts w:eastAsia="Times New Roman"/>
          <w:bCs/>
          <w:sz w:val="28"/>
          <w:szCs w:val="28"/>
          <w:lang w:val="uk-UA" w:eastAsia="uk-UA"/>
        </w:rPr>
        <w:t xml:space="preserve">періодичності здійснення </w:t>
      </w:r>
      <w:proofErr w:type="spellStart"/>
      <w:r w:rsidR="004A281F" w:rsidRPr="0051575F">
        <w:rPr>
          <w:rFonts w:eastAsia="Times New Roman"/>
          <w:bCs/>
          <w:sz w:val="28"/>
          <w:szCs w:val="28"/>
          <w:lang w:val="uk-UA" w:eastAsia="uk-UA"/>
        </w:rPr>
        <w:t>Держенергонаглядом</w:t>
      </w:r>
      <w:proofErr w:type="spellEnd"/>
      <w:r w:rsidR="00A57525" w:rsidRPr="0051575F">
        <w:rPr>
          <w:rFonts w:eastAsia="Times New Roman"/>
          <w:bCs/>
          <w:sz w:val="28"/>
          <w:szCs w:val="28"/>
          <w:lang w:val="uk-UA" w:eastAsia="uk-UA"/>
        </w:rPr>
        <w:t xml:space="preserve"> планових заходів державного нагляду (контролю) </w:t>
      </w:r>
      <w:r w:rsidR="00723BDB" w:rsidRPr="0051575F">
        <w:rPr>
          <w:rFonts w:eastAsia="Times New Roman"/>
          <w:bCs/>
          <w:sz w:val="28"/>
          <w:szCs w:val="28"/>
          <w:lang w:val="uk-UA" w:eastAsia="uk-UA"/>
        </w:rPr>
        <w:t>справляє негативний вплив на всіх учасників економічних відносин.</w:t>
      </w:r>
      <w:r w:rsidR="00B65C8C" w:rsidRPr="0051575F">
        <w:rPr>
          <w:rFonts w:eastAsia="Times New Roman"/>
          <w:bCs/>
          <w:sz w:val="28"/>
          <w:szCs w:val="28"/>
          <w:lang w:val="uk-UA" w:eastAsia="uk-UA"/>
        </w:rPr>
        <w:t xml:space="preserve"> </w:t>
      </w:r>
    </w:p>
    <w:p w14:paraId="3F55C725" w14:textId="74D88AD4" w:rsidR="00D25D54" w:rsidRPr="0051575F" w:rsidRDefault="00D25D54" w:rsidP="001D6F9F">
      <w:pPr>
        <w:spacing w:line="276" w:lineRule="auto"/>
        <w:ind w:firstLine="708"/>
        <w:jc w:val="both"/>
        <w:rPr>
          <w:rFonts w:eastAsia="Times New Roman"/>
          <w:bCs/>
          <w:sz w:val="28"/>
          <w:szCs w:val="28"/>
          <w:lang w:val="uk-UA" w:eastAsia="uk-UA"/>
        </w:rPr>
      </w:pPr>
      <w:r w:rsidRPr="0051575F">
        <w:rPr>
          <w:rFonts w:eastAsia="Times New Roman"/>
          <w:bCs/>
          <w:sz w:val="28"/>
          <w:szCs w:val="28"/>
          <w:lang w:val="uk-UA" w:eastAsia="uk-UA"/>
        </w:rPr>
        <w:t xml:space="preserve">Затвердження </w:t>
      </w:r>
      <w:proofErr w:type="spellStart"/>
      <w:r w:rsidR="009C2C13">
        <w:rPr>
          <w:rFonts w:eastAsia="Times New Roman"/>
          <w:bCs/>
          <w:sz w:val="28"/>
          <w:szCs w:val="28"/>
          <w:lang w:val="uk-UA" w:eastAsia="uk-UA"/>
        </w:rPr>
        <w:t>проєкт</w:t>
      </w:r>
      <w:r w:rsidRPr="0051575F">
        <w:rPr>
          <w:rFonts w:eastAsia="Times New Roman"/>
          <w:bCs/>
          <w:sz w:val="28"/>
          <w:szCs w:val="28"/>
          <w:lang w:val="uk-UA" w:eastAsia="uk-UA"/>
        </w:rPr>
        <w:t>у</w:t>
      </w:r>
      <w:proofErr w:type="spellEnd"/>
      <w:r w:rsidRPr="0051575F">
        <w:rPr>
          <w:rFonts w:eastAsia="Times New Roman"/>
          <w:bCs/>
          <w:sz w:val="28"/>
          <w:szCs w:val="28"/>
          <w:lang w:val="uk-UA" w:eastAsia="uk-UA"/>
        </w:rPr>
        <w:t xml:space="preserve"> </w:t>
      </w:r>
      <w:proofErr w:type="spellStart"/>
      <w:r w:rsidRPr="0051575F">
        <w:rPr>
          <w:rFonts w:eastAsia="Times New Roman"/>
          <w:bCs/>
          <w:sz w:val="28"/>
          <w:szCs w:val="28"/>
          <w:lang w:val="uk-UA" w:eastAsia="uk-UA"/>
        </w:rPr>
        <w:t>акта</w:t>
      </w:r>
      <w:proofErr w:type="spellEnd"/>
      <w:r w:rsidRPr="0051575F">
        <w:rPr>
          <w:rFonts w:eastAsia="Times New Roman"/>
          <w:bCs/>
          <w:sz w:val="28"/>
          <w:szCs w:val="28"/>
          <w:lang w:val="uk-UA" w:eastAsia="uk-UA"/>
        </w:rPr>
        <w:t xml:space="preserve"> сприятиме забезпеченню єдиного підходу до планування перевірок, поліпшенню якості нагляду, </w:t>
      </w:r>
      <w:r w:rsidR="0012242D" w:rsidRPr="0051575F">
        <w:rPr>
          <w:rFonts w:eastAsia="Times New Roman"/>
          <w:bCs/>
          <w:sz w:val="28"/>
          <w:szCs w:val="28"/>
          <w:lang w:val="uk-UA" w:eastAsia="uk-UA"/>
        </w:rPr>
        <w:t xml:space="preserve">оптимізації </w:t>
      </w:r>
      <w:r w:rsidR="00A57525" w:rsidRPr="0051575F">
        <w:rPr>
          <w:rFonts w:eastAsia="Times New Roman"/>
          <w:bCs/>
          <w:sz w:val="28"/>
          <w:szCs w:val="28"/>
          <w:lang w:val="uk-UA" w:eastAsia="uk-UA"/>
        </w:rPr>
        <w:t xml:space="preserve">кількості планових заходів </w:t>
      </w:r>
      <w:proofErr w:type="spellStart"/>
      <w:r w:rsidR="004A281F" w:rsidRPr="0051575F">
        <w:rPr>
          <w:rFonts w:eastAsia="Times New Roman"/>
          <w:bCs/>
          <w:sz w:val="28"/>
          <w:szCs w:val="28"/>
          <w:lang w:val="uk-UA" w:eastAsia="uk-UA"/>
        </w:rPr>
        <w:t>Держенергонагляду</w:t>
      </w:r>
      <w:proofErr w:type="spellEnd"/>
      <w:r w:rsidR="00A57525" w:rsidRPr="0051575F">
        <w:rPr>
          <w:rFonts w:eastAsia="Times New Roman"/>
          <w:bCs/>
          <w:sz w:val="28"/>
          <w:szCs w:val="28"/>
          <w:lang w:val="uk-UA" w:eastAsia="uk-UA"/>
        </w:rPr>
        <w:t xml:space="preserve"> з урахуванням трьох ступенів ризику діяльності суб’єктів господарювання: високого, середнього або незначного; </w:t>
      </w:r>
      <w:r w:rsidRPr="0051575F">
        <w:rPr>
          <w:rFonts w:eastAsia="Times New Roman"/>
          <w:bCs/>
          <w:sz w:val="28"/>
          <w:szCs w:val="28"/>
          <w:lang w:val="uk-UA" w:eastAsia="uk-UA"/>
        </w:rPr>
        <w:t xml:space="preserve">створенню прозорості діяльності посадових осіб </w:t>
      </w:r>
      <w:proofErr w:type="spellStart"/>
      <w:r w:rsidR="004A281F" w:rsidRPr="0051575F">
        <w:rPr>
          <w:rFonts w:eastAsia="Times New Roman"/>
          <w:bCs/>
          <w:sz w:val="28"/>
          <w:szCs w:val="28"/>
          <w:lang w:val="uk-UA" w:eastAsia="uk-UA"/>
        </w:rPr>
        <w:t>Держенергонагляду</w:t>
      </w:r>
      <w:proofErr w:type="spellEnd"/>
      <w:r w:rsidRPr="0051575F">
        <w:rPr>
          <w:rFonts w:eastAsia="Times New Roman"/>
          <w:bCs/>
          <w:sz w:val="28"/>
          <w:szCs w:val="28"/>
          <w:lang w:val="uk-UA" w:eastAsia="uk-UA"/>
        </w:rPr>
        <w:t xml:space="preserve"> та прийнятих ними рішень за наслідками перевірок.</w:t>
      </w:r>
    </w:p>
    <w:p w14:paraId="58C5A544" w14:textId="2D21D345" w:rsidR="00187837" w:rsidRPr="0051575F" w:rsidRDefault="009A016B" w:rsidP="001D6F9F">
      <w:pPr>
        <w:spacing w:line="276" w:lineRule="auto"/>
        <w:ind w:firstLine="567"/>
        <w:jc w:val="both"/>
        <w:rPr>
          <w:sz w:val="28"/>
          <w:szCs w:val="28"/>
          <w:lang w:val="uk-UA"/>
        </w:rPr>
      </w:pPr>
      <w:r w:rsidRPr="0051575F">
        <w:rPr>
          <w:sz w:val="28"/>
          <w:szCs w:val="28"/>
          <w:lang w:val="uk-UA"/>
        </w:rPr>
        <w:lastRenderedPageBreak/>
        <w:t>В</w:t>
      </w:r>
      <w:r w:rsidR="00462E2D" w:rsidRPr="0051575F">
        <w:rPr>
          <w:sz w:val="28"/>
          <w:szCs w:val="28"/>
          <w:lang w:val="uk-UA"/>
        </w:rPr>
        <w:t>рах</w:t>
      </w:r>
      <w:r w:rsidR="002E6376" w:rsidRPr="0051575F">
        <w:rPr>
          <w:sz w:val="28"/>
          <w:szCs w:val="28"/>
          <w:lang w:val="uk-UA"/>
        </w:rPr>
        <w:t xml:space="preserve">овуючи зазначене, </w:t>
      </w:r>
      <w:proofErr w:type="spellStart"/>
      <w:r w:rsidR="004A281F" w:rsidRPr="0051575F">
        <w:rPr>
          <w:sz w:val="28"/>
          <w:szCs w:val="28"/>
          <w:lang w:val="uk-UA"/>
        </w:rPr>
        <w:t>Міненерговугілля</w:t>
      </w:r>
      <w:proofErr w:type="spellEnd"/>
      <w:r w:rsidR="00462E2D" w:rsidRPr="0051575F">
        <w:rPr>
          <w:sz w:val="28"/>
          <w:szCs w:val="28"/>
          <w:lang w:val="uk-UA"/>
        </w:rPr>
        <w:t xml:space="preserve"> з метою дотримання вимог Закону</w:t>
      </w:r>
      <w:r w:rsidR="00A57525" w:rsidRPr="0051575F">
        <w:rPr>
          <w:sz w:val="28"/>
          <w:szCs w:val="28"/>
          <w:lang w:val="uk-UA"/>
        </w:rPr>
        <w:t xml:space="preserve"> та</w:t>
      </w:r>
      <w:r w:rsidR="00787BF9" w:rsidRPr="0051575F">
        <w:rPr>
          <w:sz w:val="28"/>
          <w:szCs w:val="28"/>
          <w:lang w:val="uk-UA"/>
        </w:rPr>
        <w:t xml:space="preserve"> практичної реалізації</w:t>
      </w:r>
      <w:r w:rsidR="00033E91" w:rsidRPr="0051575F">
        <w:rPr>
          <w:sz w:val="28"/>
          <w:szCs w:val="28"/>
          <w:lang w:val="uk-UA"/>
        </w:rPr>
        <w:t xml:space="preserve"> напрямів</w:t>
      </w:r>
      <w:r w:rsidR="00787BF9" w:rsidRPr="0051575F">
        <w:rPr>
          <w:sz w:val="28"/>
          <w:szCs w:val="28"/>
          <w:lang w:val="uk-UA"/>
        </w:rPr>
        <w:t xml:space="preserve"> реформування</w:t>
      </w:r>
      <w:r w:rsidR="00A57525" w:rsidRPr="0051575F">
        <w:rPr>
          <w:sz w:val="28"/>
          <w:szCs w:val="28"/>
          <w:lang w:val="uk-UA"/>
        </w:rPr>
        <w:t xml:space="preserve"> системи держав</w:t>
      </w:r>
      <w:r w:rsidR="00033E91" w:rsidRPr="0051575F">
        <w:rPr>
          <w:sz w:val="28"/>
          <w:szCs w:val="28"/>
          <w:lang w:val="uk-UA"/>
        </w:rPr>
        <w:t>ного нагляду (контролю), що мають</w:t>
      </w:r>
      <w:r w:rsidR="00A57525" w:rsidRPr="0051575F">
        <w:rPr>
          <w:sz w:val="28"/>
          <w:szCs w:val="28"/>
          <w:lang w:val="uk-UA"/>
        </w:rPr>
        <w:t xml:space="preserve"> на меті усунення надлишкової </w:t>
      </w:r>
      <w:proofErr w:type="spellStart"/>
      <w:r w:rsidR="00A57525" w:rsidRPr="0051575F">
        <w:rPr>
          <w:sz w:val="28"/>
          <w:szCs w:val="28"/>
          <w:lang w:val="uk-UA"/>
        </w:rPr>
        <w:t>зарегульованості</w:t>
      </w:r>
      <w:proofErr w:type="spellEnd"/>
      <w:r w:rsidR="00A57525" w:rsidRPr="0051575F">
        <w:rPr>
          <w:sz w:val="28"/>
          <w:szCs w:val="28"/>
          <w:lang w:val="uk-UA"/>
        </w:rPr>
        <w:t xml:space="preserve"> відносин між державою та бізнесом, підготовлено </w:t>
      </w:r>
      <w:proofErr w:type="spellStart"/>
      <w:r w:rsidR="009C2C13">
        <w:rPr>
          <w:sz w:val="28"/>
          <w:szCs w:val="28"/>
          <w:lang w:val="uk-UA"/>
        </w:rPr>
        <w:t>проєкт</w:t>
      </w:r>
      <w:proofErr w:type="spellEnd"/>
      <w:r w:rsidR="00A57525" w:rsidRPr="0051575F">
        <w:rPr>
          <w:sz w:val="28"/>
          <w:szCs w:val="28"/>
          <w:lang w:val="uk-UA"/>
        </w:rPr>
        <w:t xml:space="preserve"> </w:t>
      </w:r>
      <w:proofErr w:type="spellStart"/>
      <w:r w:rsidR="00A57525" w:rsidRPr="008D0691">
        <w:rPr>
          <w:sz w:val="28"/>
          <w:szCs w:val="28"/>
          <w:lang w:val="uk-UA"/>
        </w:rPr>
        <w:t>акт</w:t>
      </w:r>
      <w:r w:rsidR="004A281F" w:rsidRPr="008D0691">
        <w:rPr>
          <w:sz w:val="28"/>
          <w:szCs w:val="28"/>
          <w:lang w:val="uk-UA"/>
        </w:rPr>
        <w:t>а</w:t>
      </w:r>
      <w:proofErr w:type="spellEnd"/>
      <w:r w:rsidR="00033E91" w:rsidRPr="008D0691">
        <w:rPr>
          <w:sz w:val="28"/>
          <w:szCs w:val="28"/>
          <w:lang w:val="uk-UA"/>
        </w:rPr>
        <w:t>,</w:t>
      </w:r>
      <w:r w:rsidR="008D0691" w:rsidRPr="008D0691">
        <w:rPr>
          <w:sz w:val="28"/>
          <w:szCs w:val="28"/>
          <w:lang w:val="uk-UA"/>
        </w:rPr>
        <w:t xml:space="preserve"> який відповідно до параграфу 40 Регламенту Кабінету Міністрів України доопрацьовано Державною інспекцією енергетичного нагляду</w:t>
      </w:r>
      <w:r w:rsidR="008D0691">
        <w:rPr>
          <w:sz w:val="28"/>
          <w:szCs w:val="28"/>
          <w:lang w:val="uk-UA"/>
        </w:rPr>
        <w:t xml:space="preserve"> України</w:t>
      </w:r>
      <w:r w:rsidR="008D0691" w:rsidRPr="008D0691">
        <w:rPr>
          <w:sz w:val="28"/>
          <w:szCs w:val="28"/>
          <w:lang w:val="uk-UA"/>
        </w:rPr>
        <w:t xml:space="preserve"> з врахуванням зауважень заінтересованих органів,</w:t>
      </w:r>
      <w:r w:rsidR="008D0691" w:rsidRPr="00F95F2C">
        <w:rPr>
          <w:lang w:val="uk-UA"/>
        </w:rPr>
        <w:t xml:space="preserve"> </w:t>
      </w:r>
      <w:r w:rsidR="00033E91" w:rsidRPr="0051575F">
        <w:rPr>
          <w:sz w:val="28"/>
          <w:szCs w:val="28"/>
          <w:lang w:val="uk-UA"/>
        </w:rPr>
        <w:t>що</w:t>
      </w:r>
      <w:r w:rsidR="00787BF9" w:rsidRPr="0051575F">
        <w:rPr>
          <w:sz w:val="28"/>
          <w:szCs w:val="28"/>
          <w:lang w:val="uk-UA"/>
        </w:rPr>
        <w:t xml:space="preserve"> передбачає визначення</w:t>
      </w:r>
      <w:r w:rsidR="00A57525" w:rsidRPr="0051575F">
        <w:rPr>
          <w:bCs/>
          <w:sz w:val="28"/>
          <w:szCs w:val="28"/>
          <w:lang w:val="uk-UA"/>
        </w:rPr>
        <w:t xml:space="preserve"> критерії</w:t>
      </w:r>
      <w:r w:rsidR="00787BF9" w:rsidRPr="0051575F">
        <w:rPr>
          <w:bCs/>
          <w:sz w:val="28"/>
          <w:szCs w:val="28"/>
          <w:lang w:val="uk-UA"/>
        </w:rPr>
        <w:t>в</w:t>
      </w:r>
      <w:r w:rsidR="00A57525" w:rsidRPr="0051575F">
        <w:rPr>
          <w:bCs/>
          <w:sz w:val="28"/>
          <w:szCs w:val="28"/>
          <w:lang w:val="uk-UA"/>
        </w:rPr>
        <w:t xml:space="preserve">, за якими оцінюється ступінь ризику від провадження господарської діяльності суб’єктами господарювання в частині дотримання вимог законодавства </w:t>
      </w:r>
      <w:r w:rsidR="004A281F" w:rsidRPr="0051575F">
        <w:rPr>
          <w:bCs/>
          <w:sz w:val="28"/>
          <w:szCs w:val="28"/>
          <w:lang w:val="uk-UA"/>
        </w:rPr>
        <w:t>в галузі електроенергетики та сфері теплопостачання</w:t>
      </w:r>
      <w:r w:rsidR="00A57525" w:rsidRPr="0051575F">
        <w:rPr>
          <w:bCs/>
          <w:sz w:val="28"/>
          <w:szCs w:val="28"/>
          <w:lang w:val="uk-UA"/>
        </w:rPr>
        <w:t xml:space="preserve">, а також </w:t>
      </w:r>
      <w:r w:rsidR="00787BF9" w:rsidRPr="0051575F">
        <w:rPr>
          <w:bCs/>
          <w:sz w:val="28"/>
          <w:szCs w:val="28"/>
          <w:lang w:val="uk-UA"/>
        </w:rPr>
        <w:t>визначає</w:t>
      </w:r>
      <w:r w:rsidR="00A57525" w:rsidRPr="0051575F">
        <w:rPr>
          <w:bCs/>
          <w:sz w:val="28"/>
          <w:szCs w:val="28"/>
          <w:lang w:val="uk-UA"/>
        </w:rPr>
        <w:t xml:space="preserve"> періодичність здійснення </w:t>
      </w:r>
      <w:proofErr w:type="spellStart"/>
      <w:r w:rsidR="007C5FE5" w:rsidRPr="0051575F">
        <w:rPr>
          <w:bCs/>
          <w:sz w:val="28"/>
          <w:szCs w:val="28"/>
          <w:lang w:val="uk-UA"/>
        </w:rPr>
        <w:t>Держ</w:t>
      </w:r>
      <w:r w:rsidR="00376B74" w:rsidRPr="0051575F">
        <w:rPr>
          <w:bCs/>
          <w:sz w:val="28"/>
          <w:szCs w:val="28"/>
          <w:lang w:val="uk-UA"/>
        </w:rPr>
        <w:t>енергонаглядом</w:t>
      </w:r>
      <w:proofErr w:type="spellEnd"/>
      <w:r w:rsidR="00A57525" w:rsidRPr="0051575F">
        <w:rPr>
          <w:bCs/>
          <w:sz w:val="28"/>
          <w:szCs w:val="28"/>
          <w:lang w:val="uk-UA"/>
        </w:rPr>
        <w:t xml:space="preserve"> планових заходів державного нагляду (контролю), </w:t>
      </w:r>
      <w:r w:rsidR="00787BF9" w:rsidRPr="0051575F">
        <w:rPr>
          <w:bCs/>
          <w:sz w:val="28"/>
          <w:szCs w:val="28"/>
          <w:lang w:val="uk-UA"/>
        </w:rPr>
        <w:t>та пропонує визнати</w:t>
      </w:r>
      <w:r w:rsidR="00A57525" w:rsidRPr="0051575F">
        <w:rPr>
          <w:bCs/>
          <w:sz w:val="28"/>
          <w:szCs w:val="28"/>
          <w:lang w:val="uk-UA"/>
        </w:rPr>
        <w:t xml:space="preserve"> такою, що втратила чинність, </w:t>
      </w:r>
      <w:r w:rsidR="00376B74" w:rsidRPr="0051575F">
        <w:rPr>
          <w:sz w:val="28"/>
          <w:lang w:val="uk-UA"/>
        </w:rPr>
        <w:t xml:space="preserve">постанову Кабінету Міністрів України від 22 лютого 2008 р. № 75 </w:t>
      </w:r>
      <w:r w:rsidR="00BA174E" w:rsidRPr="0051575F">
        <w:rPr>
          <w:sz w:val="28"/>
          <w:lang w:val="uk-UA"/>
        </w:rPr>
        <w:br/>
        <w:t>(зі змінами)</w:t>
      </w:r>
      <w:r w:rsidR="00187837" w:rsidRPr="0051575F">
        <w:rPr>
          <w:sz w:val="28"/>
          <w:szCs w:val="28"/>
          <w:lang w:val="uk-UA"/>
        </w:rPr>
        <w:t>.</w:t>
      </w:r>
    </w:p>
    <w:p w14:paraId="3161FED7" w14:textId="77777777" w:rsidR="00B82BCB" w:rsidRPr="0051575F" w:rsidRDefault="006673DF" w:rsidP="001D6F9F">
      <w:pPr>
        <w:tabs>
          <w:tab w:val="left" w:pos="9355"/>
        </w:tabs>
        <w:spacing w:line="276" w:lineRule="auto"/>
        <w:ind w:firstLine="540"/>
        <w:jc w:val="both"/>
        <w:rPr>
          <w:sz w:val="28"/>
          <w:szCs w:val="28"/>
          <w:shd w:val="clear" w:color="auto" w:fill="FFFFFF"/>
          <w:lang w:val="uk-UA"/>
        </w:rPr>
      </w:pPr>
      <w:r w:rsidRPr="0051575F">
        <w:rPr>
          <w:sz w:val="28"/>
          <w:szCs w:val="28"/>
          <w:shd w:val="clear" w:color="auto" w:fill="FFFFFF"/>
          <w:lang w:val="uk-UA"/>
        </w:rPr>
        <w:t xml:space="preserve">Основні групи (підгрупи), на які проблеми справляють </w:t>
      </w:r>
      <w:r w:rsidR="00A57525" w:rsidRPr="0051575F">
        <w:rPr>
          <w:sz w:val="28"/>
          <w:szCs w:val="28"/>
          <w:shd w:val="clear" w:color="auto" w:fill="FFFFFF"/>
          <w:lang w:val="uk-UA"/>
        </w:rPr>
        <w:t xml:space="preserve">негативний </w:t>
      </w:r>
      <w:r w:rsidRPr="0051575F">
        <w:rPr>
          <w:sz w:val="28"/>
          <w:szCs w:val="28"/>
          <w:shd w:val="clear" w:color="auto" w:fill="FFFFFF"/>
          <w:lang w:val="uk-UA"/>
        </w:rPr>
        <w:t>вплив:</w:t>
      </w:r>
    </w:p>
    <w:p w14:paraId="177A4F7B" w14:textId="77777777" w:rsidR="006673DF" w:rsidRPr="00750B42" w:rsidRDefault="006673DF" w:rsidP="001D6F9F">
      <w:pPr>
        <w:tabs>
          <w:tab w:val="left" w:pos="9355"/>
        </w:tabs>
        <w:spacing w:line="276" w:lineRule="auto"/>
        <w:ind w:firstLine="540"/>
        <w:jc w:val="both"/>
        <w:rPr>
          <w:sz w:val="28"/>
          <w:szCs w:val="28"/>
          <w:shd w:val="clear" w:color="auto" w:fill="FFFFFF"/>
          <w:lang w:val="uk-UA"/>
        </w:rPr>
      </w:pPr>
    </w:p>
    <w:tbl>
      <w:tblPr>
        <w:tblW w:w="9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3972"/>
        <w:gridCol w:w="1131"/>
      </w:tblGrid>
      <w:tr w:rsidR="00750B42" w:rsidRPr="00750B42" w14:paraId="3ED96892" w14:textId="77777777" w:rsidTr="00B90140">
        <w:tc>
          <w:tcPr>
            <w:tcW w:w="3995" w:type="dxa"/>
            <w:vAlign w:val="center"/>
            <w:hideMark/>
          </w:tcPr>
          <w:p w14:paraId="4A47DF33" w14:textId="77777777" w:rsidR="006673DF" w:rsidRPr="00750B42" w:rsidRDefault="006673DF" w:rsidP="001D6F9F">
            <w:pPr>
              <w:tabs>
                <w:tab w:val="left" w:pos="9355"/>
              </w:tabs>
              <w:spacing w:line="276" w:lineRule="auto"/>
              <w:ind w:firstLine="540"/>
              <w:jc w:val="center"/>
              <w:rPr>
                <w:b/>
                <w:shd w:val="clear" w:color="auto" w:fill="FFFFFF"/>
                <w:lang w:val="uk-UA"/>
              </w:rPr>
            </w:pPr>
            <w:r w:rsidRPr="00750B42">
              <w:rPr>
                <w:b/>
                <w:shd w:val="clear" w:color="auto" w:fill="FFFFFF"/>
                <w:lang w:val="uk-UA"/>
              </w:rPr>
              <w:t>Групи (підгрупи)</w:t>
            </w:r>
          </w:p>
        </w:tc>
        <w:tc>
          <w:tcPr>
            <w:tcW w:w="3972" w:type="dxa"/>
            <w:hideMark/>
          </w:tcPr>
          <w:p w14:paraId="424A863D" w14:textId="77777777" w:rsidR="006673DF" w:rsidRPr="00750B42" w:rsidRDefault="006673DF" w:rsidP="001D6F9F">
            <w:pPr>
              <w:tabs>
                <w:tab w:val="left" w:pos="9355"/>
              </w:tabs>
              <w:spacing w:line="276" w:lineRule="auto"/>
              <w:ind w:firstLine="8"/>
              <w:jc w:val="center"/>
              <w:rPr>
                <w:b/>
                <w:shd w:val="clear" w:color="auto" w:fill="FFFFFF"/>
                <w:lang w:val="uk-UA"/>
              </w:rPr>
            </w:pPr>
            <w:r w:rsidRPr="00750B42">
              <w:rPr>
                <w:b/>
                <w:shd w:val="clear" w:color="auto" w:fill="FFFFFF"/>
                <w:lang w:val="uk-UA"/>
              </w:rPr>
              <w:t>Так</w:t>
            </w:r>
          </w:p>
        </w:tc>
        <w:tc>
          <w:tcPr>
            <w:tcW w:w="1131" w:type="dxa"/>
            <w:hideMark/>
          </w:tcPr>
          <w:p w14:paraId="400C9C6A" w14:textId="77777777" w:rsidR="006673DF" w:rsidRPr="00750B42" w:rsidRDefault="006673DF" w:rsidP="001D6F9F">
            <w:pPr>
              <w:tabs>
                <w:tab w:val="left" w:pos="9355"/>
              </w:tabs>
              <w:spacing w:line="276" w:lineRule="auto"/>
              <w:jc w:val="center"/>
              <w:rPr>
                <w:b/>
                <w:shd w:val="clear" w:color="auto" w:fill="FFFFFF"/>
                <w:lang w:val="uk-UA"/>
              </w:rPr>
            </w:pPr>
            <w:r w:rsidRPr="00750B42">
              <w:rPr>
                <w:b/>
                <w:shd w:val="clear" w:color="auto" w:fill="FFFFFF"/>
                <w:lang w:val="uk-UA"/>
              </w:rPr>
              <w:t>Ні</w:t>
            </w:r>
          </w:p>
        </w:tc>
      </w:tr>
      <w:tr w:rsidR="00750B42" w:rsidRPr="00750B42" w14:paraId="0C50D478" w14:textId="77777777" w:rsidTr="00B90140">
        <w:tc>
          <w:tcPr>
            <w:tcW w:w="3995" w:type="dxa"/>
            <w:hideMark/>
          </w:tcPr>
          <w:p w14:paraId="358D8F9E" w14:textId="77777777" w:rsidR="006673DF" w:rsidRPr="00750B42" w:rsidRDefault="006673DF" w:rsidP="001D6F9F">
            <w:pPr>
              <w:tabs>
                <w:tab w:val="left" w:pos="9355"/>
              </w:tabs>
              <w:spacing w:line="276" w:lineRule="auto"/>
              <w:ind w:firstLine="34"/>
              <w:jc w:val="both"/>
              <w:rPr>
                <w:shd w:val="clear" w:color="auto" w:fill="FFFFFF"/>
                <w:lang w:val="uk-UA"/>
              </w:rPr>
            </w:pPr>
            <w:r w:rsidRPr="00750B42">
              <w:rPr>
                <w:shd w:val="clear" w:color="auto" w:fill="FFFFFF"/>
                <w:lang w:val="uk-UA"/>
              </w:rPr>
              <w:t>Громадяни</w:t>
            </w:r>
          </w:p>
        </w:tc>
        <w:tc>
          <w:tcPr>
            <w:tcW w:w="3972" w:type="dxa"/>
            <w:hideMark/>
          </w:tcPr>
          <w:p w14:paraId="12CB6D6E" w14:textId="77777777" w:rsidR="006673DF" w:rsidRPr="00750B42" w:rsidRDefault="004314A0" w:rsidP="001D6F9F">
            <w:pPr>
              <w:tabs>
                <w:tab w:val="left" w:pos="9355"/>
              </w:tabs>
              <w:spacing w:line="276" w:lineRule="auto"/>
              <w:rPr>
                <w:shd w:val="clear" w:color="auto" w:fill="FFFFFF"/>
                <w:lang w:val="uk-UA"/>
              </w:rPr>
            </w:pPr>
            <w:r w:rsidRPr="00750B42">
              <w:rPr>
                <w:shd w:val="clear" w:color="auto" w:fill="FFFFFF"/>
                <w:lang w:val="uk-UA"/>
              </w:rPr>
              <w:t>так</w:t>
            </w:r>
          </w:p>
        </w:tc>
        <w:tc>
          <w:tcPr>
            <w:tcW w:w="1131" w:type="dxa"/>
          </w:tcPr>
          <w:p w14:paraId="2131BDF3" w14:textId="77777777" w:rsidR="006673DF" w:rsidRPr="00750B42" w:rsidRDefault="004314A0" w:rsidP="00D83BE0">
            <w:pPr>
              <w:tabs>
                <w:tab w:val="left" w:pos="9355"/>
              </w:tabs>
              <w:spacing w:line="276" w:lineRule="auto"/>
              <w:jc w:val="center"/>
              <w:rPr>
                <w:shd w:val="clear" w:color="auto" w:fill="FFFFFF"/>
                <w:lang w:val="uk-UA"/>
              </w:rPr>
            </w:pPr>
            <w:r w:rsidRPr="00750B42">
              <w:rPr>
                <w:shd w:val="clear" w:color="auto" w:fill="FFFFFF"/>
                <w:lang w:val="uk-UA"/>
              </w:rPr>
              <w:t>-</w:t>
            </w:r>
          </w:p>
        </w:tc>
      </w:tr>
      <w:tr w:rsidR="00750B42" w:rsidRPr="00750B42" w14:paraId="3BD82DCA" w14:textId="77777777" w:rsidTr="008F31C4">
        <w:tc>
          <w:tcPr>
            <w:tcW w:w="3995" w:type="dxa"/>
            <w:hideMark/>
          </w:tcPr>
          <w:p w14:paraId="13F3B41F" w14:textId="77777777" w:rsidR="004314A0" w:rsidRPr="00750B42" w:rsidRDefault="004314A0" w:rsidP="004314A0">
            <w:pPr>
              <w:tabs>
                <w:tab w:val="left" w:pos="9355"/>
              </w:tabs>
              <w:spacing w:line="276" w:lineRule="auto"/>
              <w:ind w:firstLine="34"/>
              <w:jc w:val="both"/>
              <w:rPr>
                <w:shd w:val="clear" w:color="auto" w:fill="FFFFFF"/>
                <w:lang w:val="uk-UA"/>
              </w:rPr>
            </w:pPr>
            <w:r w:rsidRPr="00750B42">
              <w:rPr>
                <w:shd w:val="clear" w:color="auto" w:fill="FFFFFF"/>
                <w:lang w:val="uk-UA"/>
              </w:rPr>
              <w:t>Держава</w:t>
            </w:r>
          </w:p>
        </w:tc>
        <w:tc>
          <w:tcPr>
            <w:tcW w:w="3972" w:type="dxa"/>
          </w:tcPr>
          <w:p w14:paraId="0751C967" w14:textId="77777777" w:rsidR="004314A0" w:rsidRPr="00750B42" w:rsidRDefault="004314A0" w:rsidP="004314A0">
            <w:r w:rsidRPr="00750B42">
              <w:rPr>
                <w:shd w:val="clear" w:color="auto" w:fill="FFFFFF"/>
                <w:lang w:val="uk-UA"/>
              </w:rPr>
              <w:t>так</w:t>
            </w:r>
          </w:p>
        </w:tc>
        <w:tc>
          <w:tcPr>
            <w:tcW w:w="1131" w:type="dxa"/>
          </w:tcPr>
          <w:p w14:paraId="67A83A79" w14:textId="77777777" w:rsidR="004314A0" w:rsidRPr="00750B42" w:rsidRDefault="004314A0" w:rsidP="004314A0">
            <w:pPr>
              <w:tabs>
                <w:tab w:val="left" w:pos="9355"/>
              </w:tabs>
              <w:spacing w:line="276" w:lineRule="auto"/>
              <w:jc w:val="center"/>
              <w:rPr>
                <w:shd w:val="clear" w:color="auto" w:fill="FFFFFF"/>
                <w:lang w:val="uk-UA"/>
              </w:rPr>
            </w:pPr>
            <w:r w:rsidRPr="00750B42">
              <w:rPr>
                <w:shd w:val="clear" w:color="auto" w:fill="FFFFFF"/>
                <w:lang w:val="uk-UA"/>
              </w:rPr>
              <w:t>-</w:t>
            </w:r>
          </w:p>
        </w:tc>
      </w:tr>
      <w:tr w:rsidR="00750B42" w:rsidRPr="00750B42" w14:paraId="370BE0CF" w14:textId="77777777" w:rsidTr="008F31C4">
        <w:tc>
          <w:tcPr>
            <w:tcW w:w="3995" w:type="dxa"/>
            <w:hideMark/>
          </w:tcPr>
          <w:p w14:paraId="6F61858E" w14:textId="77777777" w:rsidR="004314A0" w:rsidRPr="00750B42" w:rsidRDefault="004314A0" w:rsidP="004314A0">
            <w:pPr>
              <w:tabs>
                <w:tab w:val="left" w:pos="9355"/>
              </w:tabs>
              <w:spacing w:line="276" w:lineRule="auto"/>
              <w:ind w:firstLine="34"/>
              <w:jc w:val="both"/>
              <w:rPr>
                <w:shd w:val="clear" w:color="auto" w:fill="FFFFFF"/>
                <w:lang w:val="uk-UA"/>
              </w:rPr>
            </w:pPr>
            <w:r w:rsidRPr="00750B42">
              <w:rPr>
                <w:shd w:val="clear" w:color="auto" w:fill="FFFFFF"/>
                <w:lang w:val="uk-UA"/>
              </w:rPr>
              <w:t>Суб’єкти господарювання,</w:t>
            </w:r>
          </w:p>
        </w:tc>
        <w:tc>
          <w:tcPr>
            <w:tcW w:w="3972" w:type="dxa"/>
          </w:tcPr>
          <w:p w14:paraId="0B4D9D5D" w14:textId="77777777" w:rsidR="004314A0" w:rsidRPr="00750B42" w:rsidRDefault="004314A0" w:rsidP="004314A0">
            <w:r w:rsidRPr="00750B42">
              <w:rPr>
                <w:shd w:val="clear" w:color="auto" w:fill="FFFFFF"/>
                <w:lang w:val="uk-UA"/>
              </w:rPr>
              <w:t>так</w:t>
            </w:r>
          </w:p>
        </w:tc>
        <w:tc>
          <w:tcPr>
            <w:tcW w:w="1131" w:type="dxa"/>
            <w:hideMark/>
          </w:tcPr>
          <w:p w14:paraId="3B9AA72B" w14:textId="77777777" w:rsidR="004314A0" w:rsidRPr="00750B42" w:rsidRDefault="004314A0" w:rsidP="004314A0">
            <w:pPr>
              <w:tabs>
                <w:tab w:val="left" w:pos="9355"/>
              </w:tabs>
              <w:spacing w:line="276" w:lineRule="auto"/>
              <w:jc w:val="center"/>
              <w:rPr>
                <w:shd w:val="clear" w:color="auto" w:fill="FFFFFF"/>
                <w:lang w:val="uk-UA"/>
              </w:rPr>
            </w:pPr>
            <w:r w:rsidRPr="00750B42">
              <w:rPr>
                <w:shd w:val="clear" w:color="auto" w:fill="FFFFFF"/>
                <w:lang w:val="uk-UA"/>
              </w:rPr>
              <w:t>-</w:t>
            </w:r>
          </w:p>
        </w:tc>
      </w:tr>
      <w:tr w:rsidR="00750B42" w:rsidRPr="00750B42" w14:paraId="7F6EDD64" w14:textId="77777777" w:rsidTr="008F31C4">
        <w:tc>
          <w:tcPr>
            <w:tcW w:w="3995" w:type="dxa"/>
          </w:tcPr>
          <w:p w14:paraId="5DBC23EA" w14:textId="77777777" w:rsidR="004314A0" w:rsidRPr="00750B42" w:rsidRDefault="004314A0" w:rsidP="004314A0">
            <w:pPr>
              <w:tabs>
                <w:tab w:val="left" w:pos="9355"/>
              </w:tabs>
              <w:spacing w:line="276" w:lineRule="auto"/>
              <w:ind w:firstLine="34"/>
              <w:jc w:val="both"/>
              <w:rPr>
                <w:shd w:val="clear" w:color="auto" w:fill="FFFFFF"/>
                <w:lang w:val="uk-UA"/>
              </w:rPr>
            </w:pPr>
            <w:r w:rsidRPr="00750B42">
              <w:rPr>
                <w:shd w:val="clear" w:color="auto" w:fill="FFFFFF"/>
                <w:lang w:val="uk-UA"/>
              </w:rPr>
              <w:t>у тому числі суб’єкти малого підприємництва</w:t>
            </w:r>
          </w:p>
        </w:tc>
        <w:tc>
          <w:tcPr>
            <w:tcW w:w="3972" w:type="dxa"/>
          </w:tcPr>
          <w:p w14:paraId="15BAA320" w14:textId="77777777" w:rsidR="004314A0" w:rsidRPr="00750B42" w:rsidRDefault="004314A0" w:rsidP="004314A0">
            <w:r w:rsidRPr="00750B42">
              <w:rPr>
                <w:shd w:val="clear" w:color="auto" w:fill="FFFFFF"/>
                <w:lang w:val="uk-UA"/>
              </w:rPr>
              <w:t>так</w:t>
            </w:r>
          </w:p>
        </w:tc>
        <w:tc>
          <w:tcPr>
            <w:tcW w:w="1131" w:type="dxa"/>
          </w:tcPr>
          <w:p w14:paraId="3410B14E" w14:textId="77777777" w:rsidR="004314A0" w:rsidRPr="00750B42" w:rsidRDefault="004314A0" w:rsidP="004314A0">
            <w:pPr>
              <w:tabs>
                <w:tab w:val="left" w:pos="9355"/>
              </w:tabs>
              <w:spacing w:line="276" w:lineRule="auto"/>
              <w:jc w:val="center"/>
              <w:rPr>
                <w:shd w:val="clear" w:color="auto" w:fill="FFFFFF"/>
                <w:lang w:val="uk-UA"/>
              </w:rPr>
            </w:pPr>
            <w:r w:rsidRPr="00750B42">
              <w:rPr>
                <w:shd w:val="clear" w:color="auto" w:fill="FFFFFF"/>
                <w:lang w:val="uk-UA"/>
              </w:rPr>
              <w:t>-</w:t>
            </w:r>
          </w:p>
        </w:tc>
      </w:tr>
    </w:tbl>
    <w:p w14:paraId="5B304049" w14:textId="77777777" w:rsidR="00AB6494" w:rsidRPr="009A1729" w:rsidRDefault="00AB6494" w:rsidP="001D6F9F">
      <w:pPr>
        <w:tabs>
          <w:tab w:val="left" w:pos="9355"/>
        </w:tabs>
        <w:spacing w:line="276" w:lineRule="auto"/>
        <w:ind w:firstLine="540"/>
        <w:jc w:val="both"/>
        <w:rPr>
          <w:color w:val="FF0000"/>
          <w:sz w:val="28"/>
          <w:szCs w:val="28"/>
          <w:shd w:val="clear" w:color="auto" w:fill="FFFFFF"/>
          <w:lang w:val="uk-UA"/>
        </w:rPr>
      </w:pPr>
    </w:p>
    <w:p w14:paraId="651F0D34" w14:textId="77777777" w:rsidR="00495307" w:rsidRPr="0051575F" w:rsidRDefault="00495307" w:rsidP="001D6F9F">
      <w:pPr>
        <w:tabs>
          <w:tab w:val="left" w:pos="9355"/>
        </w:tabs>
        <w:spacing w:line="276" w:lineRule="auto"/>
        <w:ind w:firstLine="540"/>
        <w:jc w:val="both"/>
        <w:rPr>
          <w:sz w:val="28"/>
          <w:szCs w:val="28"/>
          <w:shd w:val="clear" w:color="auto" w:fill="FFFFFF"/>
          <w:lang w:val="uk-UA"/>
        </w:rPr>
      </w:pPr>
      <w:r w:rsidRPr="0051575F">
        <w:rPr>
          <w:sz w:val="28"/>
          <w:szCs w:val="28"/>
          <w:shd w:val="clear" w:color="auto" w:fill="FFFFFF"/>
          <w:lang w:val="uk-UA"/>
        </w:rPr>
        <w:t xml:space="preserve">Проблема, яку пропонується врегулювати в результаті прийняття регуляторного </w:t>
      </w:r>
      <w:proofErr w:type="spellStart"/>
      <w:r w:rsidRPr="0051575F">
        <w:rPr>
          <w:sz w:val="28"/>
          <w:szCs w:val="28"/>
          <w:shd w:val="clear" w:color="auto" w:fill="FFFFFF"/>
          <w:lang w:val="uk-UA"/>
        </w:rPr>
        <w:t>акта</w:t>
      </w:r>
      <w:proofErr w:type="spellEnd"/>
      <w:r w:rsidRPr="0051575F">
        <w:rPr>
          <w:sz w:val="28"/>
          <w:szCs w:val="28"/>
          <w:shd w:val="clear" w:color="auto" w:fill="FFFFFF"/>
          <w:lang w:val="uk-UA"/>
        </w:rPr>
        <w:t>, є важливою та належить безпосередньо до компетенції органів держав</w:t>
      </w:r>
      <w:r w:rsidR="007509D6" w:rsidRPr="0051575F">
        <w:rPr>
          <w:sz w:val="28"/>
          <w:szCs w:val="28"/>
          <w:shd w:val="clear" w:color="auto" w:fill="FFFFFF"/>
          <w:lang w:val="uk-UA"/>
        </w:rPr>
        <w:t>ної влади</w:t>
      </w:r>
      <w:r w:rsidRPr="0051575F">
        <w:rPr>
          <w:sz w:val="28"/>
          <w:szCs w:val="28"/>
          <w:shd w:val="clear" w:color="auto" w:fill="FFFFFF"/>
          <w:lang w:val="uk-UA"/>
        </w:rPr>
        <w:t xml:space="preserve">, і не може бути розв’язана за допомогою ринкових механізмів, оскільки потребує нормативного врегулювання. </w:t>
      </w:r>
      <w:r w:rsidR="00AC468C" w:rsidRPr="0051575F">
        <w:rPr>
          <w:sz w:val="28"/>
          <w:szCs w:val="28"/>
          <w:shd w:val="clear" w:color="auto" w:fill="FFFFFF"/>
          <w:lang w:val="uk-UA"/>
        </w:rPr>
        <w:t>Діюч</w:t>
      </w:r>
      <w:r w:rsidR="007509D6" w:rsidRPr="0051575F">
        <w:rPr>
          <w:sz w:val="28"/>
          <w:szCs w:val="28"/>
          <w:shd w:val="clear" w:color="auto" w:fill="FFFFFF"/>
          <w:lang w:val="uk-UA"/>
        </w:rPr>
        <w:t xml:space="preserve">і </w:t>
      </w:r>
      <w:r w:rsidR="00AC468C" w:rsidRPr="0051575F">
        <w:rPr>
          <w:sz w:val="28"/>
          <w:szCs w:val="28"/>
          <w:shd w:val="clear" w:color="auto" w:fill="FFFFFF"/>
          <w:lang w:val="uk-UA"/>
        </w:rPr>
        <w:t>регуляторн</w:t>
      </w:r>
      <w:r w:rsidR="007509D6" w:rsidRPr="0051575F">
        <w:rPr>
          <w:sz w:val="28"/>
          <w:szCs w:val="28"/>
          <w:shd w:val="clear" w:color="auto" w:fill="FFFFFF"/>
          <w:lang w:val="uk-UA"/>
        </w:rPr>
        <w:t>і</w:t>
      </w:r>
      <w:r w:rsidR="00AC468C" w:rsidRPr="0051575F">
        <w:rPr>
          <w:sz w:val="28"/>
          <w:szCs w:val="28"/>
          <w:shd w:val="clear" w:color="auto" w:fill="FFFFFF"/>
          <w:lang w:val="uk-UA"/>
        </w:rPr>
        <w:t xml:space="preserve"> акт</w:t>
      </w:r>
      <w:r w:rsidR="007509D6" w:rsidRPr="0051575F">
        <w:rPr>
          <w:sz w:val="28"/>
          <w:szCs w:val="28"/>
          <w:shd w:val="clear" w:color="auto" w:fill="FFFFFF"/>
          <w:lang w:val="uk-UA"/>
        </w:rPr>
        <w:t>и</w:t>
      </w:r>
      <w:r w:rsidR="00AC468C" w:rsidRPr="0051575F">
        <w:rPr>
          <w:sz w:val="28"/>
          <w:szCs w:val="28"/>
          <w:shd w:val="clear" w:color="auto" w:fill="FFFFFF"/>
          <w:lang w:val="uk-UA"/>
        </w:rPr>
        <w:t xml:space="preserve"> не відповіда</w:t>
      </w:r>
      <w:r w:rsidR="007509D6" w:rsidRPr="0051575F">
        <w:rPr>
          <w:sz w:val="28"/>
          <w:szCs w:val="28"/>
          <w:shd w:val="clear" w:color="auto" w:fill="FFFFFF"/>
          <w:lang w:val="uk-UA"/>
        </w:rPr>
        <w:t>ють</w:t>
      </w:r>
      <w:r w:rsidR="00AC468C" w:rsidRPr="0051575F">
        <w:rPr>
          <w:sz w:val="28"/>
          <w:szCs w:val="28"/>
          <w:shd w:val="clear" w:color="auto" w:fill="FFFFFF"/>
          <w:lang w:val="uk-UA"/>
        </w:rPr>
        <w:t xml:space="preserve"> вимогам законодавства з питань проведення заходів державного енергетичного нагляду (контролю) та потребу</w:t>
      </w:r>
      <w:r w:rsidR="006876F3" w:rsidRPr="0051575F">
        <w:rPr>
          <w:sz w:val="28"/>
          <w:szCs w:val="28"/>
          <w:shd w:val="clear" w:color="auto" w:fill="FFFFFF"/>
          <w:lang w:val="uk-UA"/>
        </w:rPr>
        <w:t>ють</w:t>
      </w:r>
      <w:r w:rsidR="00AC468C" w:rsidRPr="0051575F">
        <w:rPr>
          <w:sz w:val="28"/>
          <w:szCs w:val="28"/>
          <w:shd w:val="clear" w:color="auto" w:fill="FFFFFF"/>
          <w:lang w:val="uk-UA"/>
        </w:rPr>
        <w:t xml:space="preserve"> визнання таким</w:t>
      </w:r>
      <w:r w:rsidR="006876F3" w:rsidRPr="0051575F">
        <w:rPr>
          <w:sz w:val="28"/>
          <w:szCs w:val="28"/>
          <w:shd w:val="clear" w:color="auto" w:fill="FFFFFF"/>
          <w:lang w:val="uk-UA"/>
        </w:rPr>
        <w:t>и</w:t>
      </w:r>
      <w:r w:rsidR="00AC468C" w:rsidRPr="0051575F">
        <w:rPr>
          <w:sz w:val="28"/>
          <w:szCs w:val="28"/>
          <w:shd w:val="clear" w:color="auto" w:fill="FFFFFF"/>
          <w:lang w:val="uk-UA"/>
        </w:rPr>
        <w:t>, що втрати</w:t>
      </w:r>
      <w:r w:rsidR="006876F3" w:rsidRPr="0051575F">
        <w:rPr>
          <w:sz w:val="28"/>
          <w:szCs w:val="28"/>
          <w:shd w:val="clear" w:color="auto" w:fill="FFFFFF"/>
          <w:lang w:val="uk-UA"/>
        </w:rPr>
        <w:t>ли</w:t>
      </w:r>
      <w:r w:rsidR="00AC468C" w:rsidRPr="0051575F">
        <w:rPr>
          <w:sz w:val="28"/>
          <w:szCs w:val="28"/>
          <w:shd w:val="clear" w:color="auto" w:fill="FFFFFF"/>
          <w:lang w:val="uk-UA"/>
        </w:rPr>
        <w:t xml:space="preserve"> чинність</w:t>
      </w:r>
      <w:r w:rsidRPr="0051575F">
        <w:rPr>
          <w:sz w:val="28"/>
          <w:szCs w:val="28"/>
          <w:shd w:val="clear" w:color="auto" w:fill="FFFFFF"/>
          <w:lang w:val="uk-UA"/>
        </w:rPr>
        <w:t xml:space="preserve">. </w:t>
      </w:r>
    </w:p>
    <w:p w14:paraId="734A782D" w14:textId="77777777" w:rsidR="00222676" w:rsidRPr="0051575F" w:rsidRDefault="00222676" w:rsidP="001D6F9F">
      <w:pPr>
        <w:spacing w:line="276" w:lineRule="auto"/>
        <w:ind w:firstLine="540"/>
        <w:jc w:val="both"/>
        <w:rPr>
          <w:b/>
          <w:sz w:val="28"/>
          <w:szCs w:val="28"/>
          <w:lang w:val="uk-UA"/>
        </w:rPr>
      </w:pPr>
    </w:p>
    <w:p w14:paraId="0AF152F5" w14:textId="77777777" w:rsidR="000D55E1" w:rsidRPr="0051575F" w:rsidRDefault="005030D8" w:rsidP="001D6F9F">
      <w:pPr>
        <w:spacing w:line="276" w:lineRule="auto"/>
        <w:ind w:firstLine="540"/>
        <w:jc w:val="center"/>
        <w:rPr>
          <w:b/>
          <w:sz w:val="28"/>
          <w:szCs w:val="28"/>
          <w:lang w:val="uk-UA"/>
        </w:rPr>
      </w:pPr>
      <w:r w:rsidRPr="0051575F">
        <w:rPr>
          <w:b/>
          <w:sz w:val="28"/>
          <w:szCs w:val="28"/>
          <w:lang w:val="uk-UA"/>
        </w:rPr>
        <w:t>ІІ</w:t>
      </w:r>
      <w:r w:rsidR="004E3BF3" w:rsidRPr="0051575F">
        <w:rPr>
          <w:b/>
          <w:sz w:val="28"/>
          <w:szCs w:val="28"/>
          <w:lang w:val="uk-UA"/>
        </w:rPr>
        <w:t xml:space="preserve">. </w:t>
      </w:r>
      <w:r w:rsidR="002C4CEF" w:rsidRPr="0051575F">
        <w:rPr>
          <w:b/>
          <w:sz w:val="28"/>
          <w:szCs w:val="28"/>
          <w:lang w:val="uk-UA"/>
        </w:rPr>
        <w:t>Цілі державного регулювання</w:t>
      </w:r>
    </w:p>
    <w:p w14:paraId="6708372D" w14:textId="77777777" w:rsidR="00D22422" w:rsidRPr="0051575F" w:rsidRDefault="00BC5E15" w:rsidP="001D6F9F">
      <w:pPr>
        <w:spacing w:line="276" w:lineRule="auto"/>
        <w:ind w:firstLine="708"/>
        <w:jc w:val="both"/>
        <w:rPr>
          <w:sz w:val="28"/>
          <w:szCs w:val="28"/>
          <w:lang w:val="uk-UA"/>
        </w:rPr>
      </w:pPr>
      <w:r w:rsidRPr="0051575F">
        <w:rPr>
          <w:sz w:val="28"/>
          <w:szCs w:val="28"/>
          <w:lang w:val="uk-UA"/>
        </w:rPr>
        <w:t xml:space="preserve">Ціллю </w:t>
      </w:r>
      <w:r w:rsidR="000D55E1" w:rsidRPr="0051575F">
        <w:rPr>
          <w:sz w:val="28"/>
          <w:szCs w:val="28"/>
          <w:lang w:val="uk-UA"/>
        </w:rPr>
        <w:t xml:space="preserve">розроблення запропонованого регуляторного </w:t>
      </w:r>
      <w:proofErr w:type="spellStart"/>
      <w:r w:rsidR="000D55E1" w:rsidRPr="0051575F">
        <w:rPr>
          <w:sz w:val="28"/>
          <w:szCs w:val="28"/>
          <w:lang w:val="uk-UA"/>
        </w:rPr>
        <w:t>акт</w:t>
      </w:r>
      <w:r w:rsidR="00D22422" w:rsidRPr="0051575F">
        <w:rPr>
          <w:sz w:val="28"/>
          <w:szCs w:val="28"/>
          <w:lang w:val="uk-UA"/>
        </w:rPr>
        <w:t>а</w:t>
      </w:r>
      <w:proofErr w:type="spellEnd"/>
      <w:r w:rsidR="00C818CD" w:rsidRPr="0051575F">
        <w:rPr>
          <w:sz w:val="28"/>
          <w:szCs w:val="28"/>
          <w:lang w:val="uk-UA"/>
        </w:rPr>
        <w:t xml:space="preserve"> </w:t>
      </w:r>
      <w:r w:rsidR="00BB3960" w:rsidRPr="0051575F">
        <w:rPr>
          <w:sz w:val="28"/>
          <w:szCs w:val="28"/>
          <w:lang w:val="uk-UA"/>
        </w:rPr>
        <w:t>є</w:t>
      </w:r>
      <w:r w:rsidR="00D22422" w:rsidRPr="0051575F">
        <w:rPr>
          <w:sz w:val="28"/>
          <w:szCs w:val="28"/>
          <w:lang w:val="uk-UA"/>
        </w:rPr>
        <w:t>:</w:t>
      </w:r>
    </w:p>
    <w:p w14:paraId="41399FB3" w14:textId="77777777" w:rsidR="00D22422" w:rsidRPr="0051575F" w:rsidRDefault="00386898" w:rsidP="001D6F9F">
      <w:pPr>
        <w:spacing w:line="276" w:lineRule="auto"/>
        <w:ind w:firstLine="708"/>
        <w:jc w:val="both"/>
        <w:rPr>
          <w:rFonts w:eastAsia="Times New Roman"/>
          <w:sz w:val="28"/>
          <w:szCs w:val="28"/>
          <w:lang w:val="uk-UA" w:eastAsia="uk-UA"/>
        </w:rPr>
      </w:pPr>
      <w:r w:rsidRPr="0051575F">
        <w:rPr>
          <w:sz w:val="28"/>
          <w:szCs w:val="28"/>
          <w:lang w:val="uk-UA"/>
        </w:rPr>
        <w:t>виконання вимог діючого законодавства в сфері електроенергетики,</w:t>
      </w:r>
      <w:r w:rsidR="00D22422" w:rsidRPr="0051575F">
        <w:rPr>
          <w:sz w:val="28"/>
          <w:szCs w:val="28"/>
          <w:lang w:val="uk-UA"/>
        </w:rPr>
        <w:t xml:space="preserve"> </w:t>
      </w:r>
      <w:r w:rsidR="00D22422" w:rsidRPr="0051575F">
        <w:rPr>
          <w:rFonts w:eastAsia="Times New Roman"/>
          <w:sz w:val="28"/>
          <w:szCs w:val="28"/>
          <w:lang w:val="uk-UA" w:eastAsia="uk-UA"/>
        </w:rPr>
        <w:t>вдосконалення правових відносин між суб’єктами господарювання та контролюючими органами;</w:t>
      </w:r>
    </w:p>
    <w:p w14:paraId="5AB07483" w14:textId="77777777" w:rsidR="00D22422" w:rsidRPr="0051575F" w:rsidRDefault="00D22422" w:rsidP="001D6F9F">
      <w:pPr>
        <w:spacing w:line="276" w:lineRule="auto"/>
        <w:ind w:firstLine="708"/>
        <w:jc w:val="both"/>
        <w:rPr>
          <w:rFonts w:eastAsia="Times New Roman"/>
          <w:sz w:val="28"/>
          <w:szCs w:val="28"/>
          <w:lang w:val="uk-UA" w:eastAsia="uk-UA"/>
        </w:rPr>
      </w:pPr>
      <w:r w:rsidRPr="0051575F">
        <w:rPr>
          <w:rFonts w:eastAsia="Times New Roman"/>
          <w:sz w:val="28"/>
          <w:szCs w:val="28"/>
          <w:lang w:val="uk-UA" w:eastAsia="uk-UA"/>
        </w:rPr>
        <w:t xml:space="preserve">звуження кола суб’єктів господарювання, які за затвердженими критеріями </w:t>
      </w:r>
      <w:r w:rsidR="00AB6494" w:rsidRPr="0051575F">
        <w:rPr>
          <w:rFonts w:eastAsia="Times New Roman"/>
          <w:sz w:val="28"/>
          <w:szCs w:val="28"/>
          <w:lang w:val="uk-UA" w:eastAsia="uk-UA"/>
        </w:rPr>
        <w:t>належать</w:t>
      </w:r>
      <w:r w:rsidRPr="0051575F">
        <w:rPr>
          <w:rFonts w:eastAsia="Times New Roman"/>
          <w:sz w:val="28"/>
          <w:szCs w:val="28"/>
          <w:lang w:val="uk-UA" w:eastAsia="uk-UA"/>
        </w:rPr>
        <w:t xml:space="preserve"> до високого та середнього ступенів ризику;</w:t>
      </w:r>
    </w:p>
    <w:p w14:paraId="3E72A14D" w14:textId="77777777" w:rsidR="00D22422" w:rsidRPr="0051575F" w:rsidRDefault="00D22422" w:rsidP="001D6F9F">
      <w:pPr>
        <w:spacing w:line="276" w:lineRule="auto"/>
        <w:ind w:firstLine="708"/>
        <w:jc w:val="both"/>
        <w:rPr>
          <w:rFonts w:eastAsia="Times New Roman"/>
          <w:sz w:val="28"/>
          <w:szCs w:val="28"/>
          <w:lang w:val="uk-UA" w:eastAsia="uk-UA"/>
        </w:rPr>
      </w:pPr>
      <w:r w:rsidRPr="0051575F">
        <w:rPr>
          <w:rFonts w:eastAsia="Times New Roman"/>
          <w:sz w:val="28"/>
          <w:szCs w:val="28"/>
          <w:lang w:val="uk-UA" w:eastAsia="uk-UA"/>
        </w:rPr>
        <w:t>зменшення кількості планових заходів державного нагляду (контролю) відносно суб’єктів господарювання;</w:t>
      </w:r>
    </w:p>
    <w:p w14:paraId="4EA2ED66" w14:textId="77777777" w:rsidR="00D22422" w:rsidRPr="0051575F" w:rsidRDefault="00D22422" w:rsidP="001D6F9F">
      <w:pPr>
        <w:spacing w:line="276" w:lineRule="auto"/>
        <w:ind w:firstLine="708"/>
        <w:jc w:val="both"/>
        <w:rPr>
          <w:rFonts w:eastAsia="Times New Roman"/>
          <w:sz w:val="28"/>
          <w:szCs w:val="28"/>
          <w:lang w:val="uk-UA" w:eastAsia="uk-UA"/>
        </w:rPr>
      </w:pPr>
      <w:r w:rsidRPr="0051575F">
        <w:rPr>
          <w:rFonts w:eastAsia="Times New Roman"/>
          <w:sz w:val="28"/>
          <w:szCs w:val="28"/>
          <w:lang w:val="uk-UA" w:eastAsia="uk-UA"/>
        </w:rPr>
        <w:lastRenderedPageBreak/>
        <w:t xml:space="preserve">стимулювання суб’єктів господарювання до виконання вимог законодавства </w:t>
      </w:r>
      <w:r w:rsidR="00AB6494" w:rsidRPr="0051575F">
        <w:rPr>
          <w:rFonts w:eastAsia="Times New Roman"/>
          <w:sz w:val="28"/>
          <w:szCs w:val="28"/>
          <w:lang w:val="uk-UA" w:eastAsia="uk-UA"/>
        </w:rPr>
        <w:t>в галузі електроенергетики та сфері теплопостачання</w:t>
      </w:r>
      <w:r w:rsidR="00D761F8" w:rsidRPr="0051575F">
        <w:rPr>
          <w:rFonts w:eastAsia="Times New Roman"/>
          <w:sz w:val="28"/>
          <w:szCs w:val="28"/>
          <w:lang w:val="uk-UA" w:eastAsia="uk-UA"/>
        </w:rPr>
        <w:t>;</w:t>
      </w:r>
    </w:p>
    <w:p w14:paraId="5B7A4782" w14:textId="77777777" w:rsidR="00D761F8" w:rsidRPr="0051575F" w:rsidRDefault="00D761F8" w:rsidP="001D6F9F">
      <w:pPr>
        <w:spacing w:line="276" w:lineRule="auto"/>
        <w:ind w:firstLine="708"/>
        <w:jc w:val="both"/>
        <w:rPr>
          <w:rFonts w:eastAsia="Times New Roman"/>
          <w:sz w:val="28"/>
          <w:szCs w:val="28"/>
          <w:lang w:val="uk-UA" w:eastAsia="uk-UA"/>
        </w:rPr>
      </w:pPr>
      <w:r w:rsidRPr="0051575F">
        <w:rPr>
          <w:rFonts w:eastAsia="Times New Roman"/>
          <w:sz w:val="28"/>
          <w:szCs w:val="28"/>
          <w:lang w:val="uk-UA" w:eastAsia="uk-UA"/>
        </w:rPr>
        <w:t>поліпшення інвестиційного клімату в Україні.</w:t>
      </w:r>
    </w:p>
    <w:p w14:paraId="7D161DD0" w14:textId="77777777" w:rsidR="006B6914" w:rsidRPr="0051575F" w:rsidRDefault="006B6914" w:rsidP="001D6F9F">
      <w:pPr>
        <w:spacing w:line="276" w:lineRule="auto"/>
        <w:ind w:firstLine="540"/>
        <w:jc w:val="center"/>
        <w:rPr>
          <w:b/>
          <w:sz w:val="28"/>
          <w:szCs w:val="28"/>
          <w:lang w:val="uk-UA"/>
        </w:rPr>
      </w:pPr>
    </w:p>
    <w:p w14:paraId="5482C1BA" w14:textId="77777777" w:rsidR="00664EFF" w:rsidRPr="0051575F" w:rsidRDefault="005030D8" w:rsidP="001D6F9F">
      <w:pPr>
        <w:spacing w:line="276" w:lineRule="auto"/>
        <w:ind w:firstLine="540"/>
        <w:jc w:val="center"/>
        <w:rPr>
          <w:b/>
          <w:sz w:val="28"/>
          <w:szCs w:val="28"/>
          <w:lang w:val="uk-UA"/>
        </w:rPr>
      </w:pPr>
      <w:r w:rsidRPr="0051575F">
        <w:rPr>
          <w:b/>
          <w:sz w:val="28"/>
          <w:szCs w:val="28"/>
          <w:lang w:val="uk-UA"/>
        </w:rPr>
        <w:t>ІІІ</w:t>
      </w:r>
      <w:r w:rsidR="004E3BF3" w:rsidRPr="0051575F">
        <w:rPr>
          <w:b/>
          <w:sz w:val="28"/>
          <w:szCs w:val="28"/>
          <w:lang w:val="uk-UA"/>
        </w:rPr>
        <w:t xml:space="preserve">. </w:t>
      </w:r>
      <w:r w:rsidR="000D55E1" w:rsidRPr="0051575F">
        <w:rPr>
          <w:b/>
          <w:sz w:val="28"/>
          <w:szCs w:val="28"/>
          <w:lang w:val="uk-UA"/>
        </w:rPr>
        <w:t>Визначення та оцінка прийнят</w:t>
      </w:r>
      <w:r w:rsidR="00332DAE" w:rsidRPr="0051575F">
        <w:rPr>
          <w:b/>
          <w:sz w:val="28"/>
          <w:szCs w:val="28"/>
          <w:lang w:val="uk-UA"/>
        </w:rPr>
        <w:t>н</w:t>
      </w:r>
      <w:r w:rsidR="000D55E1" w:rsidRPr="0051575F">
        <w:rPr>
          <w:b/>
          <w:sz w:val="28"/>
          <w:szCs w:val="28"/>
          <w:lang w:val="uk-UA"/>
        </w:rPr>
        <w:t xml:space="preserve">их альтернативних способів досягнення </w:t>
      </w:r>
      <w:r w:rsidRPr="0051575F">
        <w:rPr>
          <w:b/>
          <w:sz w:val="28"/>
          <w:szCs w:val="28"/>
          <w:lang w:val="uk-UA"/>
        </w:rPr>
        <w:t>цілей</w:t>
      </w:r>
    </w:p>
    <w:p w14:paraId="374EDE81" w14:textId="77777777" w:rsidR="005D2F24" w:rsidRPr="0051575F" w:rsidRDefault="005D2F24" w:rsidP="001D6F9F">
      <w:pPr>
        <w:spacing w:line="276" w:lineRule="auto"/>
        <w:ind w:firstLine="540"/>
        <w:jc w:val="both"/>
        <w:rPr>
          <w:rFonts w:eastAsia="Times New Roman"/>
          <w:sz w:val="28"/>
          <w:szCs w:val="28"/>
          <w:lang w:val="uk-UA"/>
        </w:rPr>
      </w:pPr>
      <w:r w:rsidRPr="0051575F">
        <w:rPr>
          <w:rFonts w:eastAsia="Times New Roman"/>
          <w:sz w:val="28"/>
          <w:szCs w:val="28"/>
          <w:lang w:val="uk-UA"/>
        </w:rPr>
        <w:t>1. Визначення альтернативних способів</w:t>
      </w:r>
    </w:p>
    <w:p w14:paraId="67BABDD9" w14:textId="77777777" w:rsidR="00E74A4B" w:rsidRPr="0051575F" w:rsidRDefault="00E74A4B" w:rsidP="001D6F9F">
      <w:pPr>
        <w:spacing w:line="276" w:lineRule="auto"/>
        <w:ind w:firstLine="540"/>
        <w:jc w:val="both"/>
        <w:rPr>
          <w:rFonts w:eastAsia="Times New Roman"/>
          <w:sz w:val="20"/>
          <w:szCs w:val="20"/>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7061"/>
      </w:tblGrid>
      <w:tr w:rsidR="0051575F" w:rsidRPr="0051575F" w14:paraId="25707547" w14:textId="77777777" w:rsidTr="00BF1421">
        <w:tc>
          <w:tcPr>
            <w:tcW w:w="2552" w:type="dxa"/>
            <w:shd w:val="clear" w:color="auto" w:fill="auto"/>
          </w:tcPr>
          <w:p w14:paraId="02121683" w14:textId="77777777" w:rsidR="005D2F24" w:rsidRPr="0051575F" w:rsidRDefault="005D2F24" w:rsidP="001D6F9F">
            <w:pPr>
              <w:spacing w:line="276" w:lineRule="auto"/>
              <w:jc w:val="center"/>
              <w:rPr>
                <w:rFonts w:eastAsia="Times New Roman"/>
                <w:b/>
                <w:lang w:val="uk-UA"/>
              </w:rPr>
            </w:pPr>
            <w:r w:rsidRPr="0051575F">
              <w:rPr>
                <w:rFonts w:eastAsia="Times New Roman"/>
                <w:b/>
                <w:lang w:val="uk-UA"/>
              </w:rPr>
              <w:t>Вид альтернативи</w:t>
            </w:r>
          </w:p>
        </w:tc>
        <w:tc>
          <w:tcPr>
            <w:tcW w:w="7195" w:type="dxa"/>
            <w:shd w:val="clear" w:color="auto" w:fill="auto"/>
          </w:tcPr>
          <w:p w14:paraId="0AF6498E" w14:textId="77777777" w:rsidR="005D2F24" w:rsidRPr="0051575F" w:rsidRDefault="005D2F24" w:rsidP="001D6F9F">
            <w:pPr>
              <w:spacing w:line="276" w:lineRule="auto"/>
              <w:jc w:val="center"/>
              <w:rPr>
                <w:rFonts w:eastAsia="Times New Roman"/>
                <w:b/>
                <w:lang w:val="uk-UA"/>
              </w:rPr>
            </w:pPr>
            <w:r w:rsidRPr="0051575F">
              <w:rPr>
                <w:rFonts w:eastAsia="Times New Roman"/>
                <w:b/>
                <w:lang w:val="uk-UA"/>
              </w:rPr>
              <w:t>Опис альтернативи</w:t>
            </w:r>
          </w:p>
        </w:tc>
      </w:tr>
      <w:tr w:rsidR="0051575F" w:rsidRPr="00750B42" w14:paraId="79BB653C" w14:textId="77777777" w:rsidTr="00BF1421">
        <w:tc>
          <w:tcPr>
            <w:tcW w:w="2552" w:type="dxa"/>
            <w:shd w:val="clear" w:color="auto" w:fill="auto"/>
          </w:tcPr>
          <w:p w14:paraId="664FE119" w14:textId="77777777" w:rsidR="005D2F24" w:rsidRPr="0051575F" w:rsidRDefault="005D2F24" w:rsidP="001D6F9F">
            <w:pPr>
              <w:spacing w:line="276" w:lineRule="auto"/>
              <w:rPr>
                <w:rFonts w:eastAsia="Times New Roman"/>
                <w:lang w:val="uk-UA"/>
              </w:rPr>
            </w:pPr>
            <w:r w:rsidRPr="0051575F">
              <w:rPr>
                <w:rFonts w:eastAsia="Times New Roman"/>
                <w:lang w:val="uk-UA"/>
              </w:rPr>
              <w:t>Альтернатива 1:</w:t>
            </w:r>
          </w:p>
          <w:p w14:paraId="217B7581" w14:textId="38345AE9" w:rsidR="005D2F24" w:rsidRPr="0051575F" w:rsidRDefault="009361DF" w:rsidP="009361DF">
            <w:pPr>
              <w:spacing w:line="276" w:lineRule="auto"/>
              <w:rPr>
                <w:rFonts w:ascii="Arial" w:eastAsia="Times New Roman" w:hAnsi="Arial" w:cs="Arial"/>
                <w:lang w:val="uk-UA"/>
              </w:rPr>
            </w:pPr>
            <w:r w:rsidRPr="0051575F">
              <w:rPr>
                <w:rFonts w:eastAsia="Times New Roman"/>
                <w:lang w:val="uk-UA"/>
              </w:rPr>
              <w:t>п</w:t>
            </w:r>
            <w:r w:rsidR="005D2F24" w:rsidRPr="0051575F">
              <w:rPr>
                <w:rFonts w:eastAsia="Times New Roman"/>
                <w:lang w:val="uk-UA"/>
              </w:rPr>
              <w:t>рийн</w:t>
            </w:r>
            <w:r w:rsidR="004122BE" w:rsidRPr="0051575F">
              <w:rPr>
                <w:rFonts w:eastAsia="Times New Roman"/>
                <w:lang w:val="uk-UA"/>
              </w:rPr>
              <w:t xml:space="preserve">яття </w:t>
            </w:r>
            <w:proofErr w:type="spellStart"/>
            <w:r w:rsidR="009C2C13">
              <w:rPr>
                <w:rFonts w:eastAsia="Times New Roman"/>
                <w:lang w:val="uk-UA"/>
              </w:rPr>
              <w:t>проєкт</w:t>
            </w:r>
            <w:r w:rsidRPr="0051575F">
              <w:rPr>
                <w:rFonts w:eastAsia="Times New Roman"/>
                <w:lang w:val="uk-UA"/>
              </w:rPr>
              <w:t>у</w:t>
            </w:r>
            <w:proofErr w:type="spellEnd"/>
            <w:r w:rsidRPr="0051575F">
              <w:rPr>
                <w:rFonts w:eastAsia="Times New Roman"/>
                <w:lang w:val="uk-UA"/>
              </w:rPr>
              <w:t xml:space="preserve"> постанови Кабінету Міністрів України «Про затвердження критеріїв, за якими оцінюється ступінь ризику від провадження господарської діяльності в галузі електроенергетики та сфері теплопостачання і визначається періодичність здійснення</w:t>
            </w:r>
            <w:r w:rsidR="00BC50BD">
              <w:rPr>
                <w:rFonts w:eastAsia="Times New Roman"/>
                <w:lang w:val="uk-UA"/>
              </w:rPr>
              <w:t xml:space="preserve"> планових</w:t>
            </w:r>
            <w:r w:rsidRPr="0051575F">
              <w:rPr>
                <w:rFonts w:eastAsia="Times New Roman"/>
                <w:lang w:val="uk-UA"/>
              </w:rPr>
              <w:t xml:space="preserve"> заходів державного нагляду (контролю) Державною інспекцією енергетичного нагляду та визнання такими, що втратили чинність, деяких постанов Кабінету Міністрів України» </w:t>
            </w:r>
          </w:p>
        </w:tc>
        <w:tc>
          <w:tcPr>
            <w:tcW w:w="7195" w:type="dxa"/>
            <w:shd w:val="clear" w:color="auto" w:fill="auto"/>
          </w:tcPr>
          <w:p w14:paraId="1857A9F0" w14:textId="77777777" w:rsidR="002C4568" w:rsidRPr="0051575F" w:rsidRDefault="00383069" w:rsidP="002C4568">
            <w:pPr>
              <w:spacing w:line="276" w:lineRule="auto"/>
              <w:ind w:firstLine="215"/>
              <w:jc w:val="both"/>
              <w:rPr>
                <w:lang w:val="uk-UA"/>
              </w:rPr>
            </w:pPr>
            <w:r w:rsidRPr="0051575F">
              <w:rPr>
                <w:lang w:val="uk-UA"/>
              </w:rPr>
              <w:t>В</w:t>
            </w:r>
            <w:r w:rsidR="002C4568" w:rsidRPr="0051575F">
              <w:rPr>
                <w:lang w:val="uk-UA"/>
              </w:rPr>
              <w:t>становлен</w:t>
            </w:r>
            <w:r w:rsidRPr="0051575F">
              <w:rPr>
                <w:lang w:val="uk-UA"/>
              </w:rPr>
              <w:t>ня</w:t>
            </w:r>
            <w:r w:rsidR="002C4568" w:rsidRPr="0051575F">
              <w:rPr>
                <w:lang w:val="uk-UA"/>
              </w:rPr>
              <w:t xml:space="preserve"> перелік</w:t>
            </w:r>
            <w:r w:rsidRPr="0051575F">
              <w:rPr>
                <w:lang w:val="uk-UA"/>
              </w:rPr>
              <w:t>ів</w:t>
            </w:r>
            <w:r w:rsidR="002C4568" w:rsidRPr="0051575F">
              <w:rPr>
                <w:lang w:val="uk-UA"/>
              </w:rPr>
              <w:t xml:space="preserve"> подій, які містять ризик настання негативних наслідків, визначено перелік негативних наслідків, до яких можуть призвести ці ризики, та вичерпн</w:t>
            </w:r>
            <w:r w:rsidR="005154E3" w:rsidRPr="0051575F">
              <w:rPr>
                <w:lang w:val="uk-UA"/>
              </w:rPr>
              <w:t>их</w:t>
            </w:r>
            <w:r w:rsidR="002C4568" w:rsidRPr="0051575F">
              <w:rPr>
                <w:lang w:val="uk-UA"/>
              </w:rPr>
              <w:t xml:space="preserve"> критерії</w:t>
            </w:r>
            <w:r w:rsidR="005154E3" w:rsidRPr="0051575F">
              <w:rPr>
                <w:lang w:val="uk-UA"/>
              </w:rPr>
              <w:t>в</w:t>
            </w:r>
            <w:r w:rsidR="002C4568" w:rsidRPr="0051575F">
              <w:rPr>
                <w:lang w:val="uk-UA"/>
              </w:rPr>
              <w:t xml:space="preserve">, за якими оцінюється ступінь ризику від провадження господарської діяльності, визначається періодичність проведення планових заходів державного нагляду (контролю). </w:t>
            </w:r>
          </w:p>
          <w:p w14:paraId="761F0805" w14:textId="77777777" w:rsidR="002C4568" w:rsidRPr="0051575F" w:rsidRDefault="00383069" w:rsidP="002C4568">
            <w:pPr>
              <w:spacing w:line="276" w:lineRule="auto"/>
              <w:ind w:firstLine="215"/>
              <w:jc w:val="both"/>
              <w:rPr>
                <w:lang w:val="uk-UA"/>
              </w:rPr>
            </w:pPr>
            <w:r w:rsidRPr="0051575F">
              <w:rPr>
                <w:lang w:val="uk-UA"/>
              </w:rPr>
              <w:t>В</w:t>
            </w:r>
            <w:r w:rsidR="002C4568" w:rsidRPr="0051575F">
              <w:rPr>
                <w:lang w:val="uk-UA"/>
              </w:rPr>
              <w:t>становлен</w:t>
            </w:r>
            <w:r w:rsidRPr="0051575F">
              <w:rPr>
                <w:lang w:val="uk-UA"/>
              </w:rPr>
              <w:t>ня</w:t>
            </w:r>
            <w:r w:rsidR="002C4568" w:rsidRPr="0051575F">
              <w:rPr>
                <w:lang w:val="uk-UA"/>
              </w:rPr>
              <w:t xml:space="preserve"> показник</w:t>
            </w:r>
            <w:r w:rsidRPr="0051575F">
              <w:rPr>
                <w:lang w:val="uk-UA"/>
              </w:rPr>
              <w:t>ів</w:t>
            </w:r>
            <w:r w:rsidR="002C4568" w:rsidRPr="0051575F">
              <w:rPr>
                <w:lang w:val="uk-UA"/>
              </w:rPr>
              <w:t xml:space="preserve"> критеріїв та кільк</w:t>
            </w:r>
            <w:r w:rsidR="005154E3" w:rsidRPr="0051575F">
              <w:rPr>
                <w:lang w:val="uk-UA"/>
              </w:rPr>
              <w:t>ості</w:t>
            </w:r>
            <w:r w:rsidR="002C4568" w:rsidRPr="0051575F">
              <w:rPr>
                <w:lang w:val="uk-UA"/>
              </w:rPr>
              <w:t xml:space="preserve"> балів, яка нараховується суб’єкту господарювання для встановлення його ступеня ризику з метою визначення низки суб’єктів господарювання, що підлягають державному нагляду (контролю) у наступному плановому періоді.</w:t>
            </w:r>
          </w:p>
          <w:p w14:paraId="1F838BA0" w14:textId="77777777" w:rsidR="002C6034" w:rsidRPr="0051575F" w:rsidRDefault="004122BE" w:rsidP="001D6F9F">
            <w:pPr>
              <w:spacing w:line="276" w:lineRule="auto"/>
              <w:ind w:firstLine="317"/>
              <w:jc w:val="both"/>
              <w:rPr>
                <w:rFonts w:eastAsia="Times New Roman"/>
                <w:lang w:val="uk-UA" w:eastAsia="uk-UA"/>
              </w:rPr>
            </w:pPr>
            <w:r w:rsidRPr="0051575F">
              <w:rPr>
                <w:rFonts w:eastAsia="Times New Roman"/>
                <w:lang w:val="uk-UA" w:eastAsia="uk-UA"/>
              </w:rPr>
              <w:t>Законодавством України на сьогодні не передбачено можливості застосування нерегуляторних механізмів щодо відносин, пов’язаних із здійсненням державного нагляду (контролю) у сфері господарської діяльності. Саме такий спосіб дозволить досягнути поставлених цілей належним чином з метою дотримання вимог статті 5 Закону, а саме: розподілити суб’єкти господарювання за ступенями ризику, встановити обґрунтовану періодичність здійснення планових заходів державного нагляду (контролю), вдосконалити підхід до планування таких заходів.</w:t>
            </w:r>
          </w:p>
          <w:p w14:paraId="14902A81" w14:textId="77777777" w:rsidR="00386898" w:rsidRPr="0051575F" w:rsidRDefault="00386898" w:rsidP="002C4568">
            <w:pPr>
              <w:spacing w:line="276" w:lineRule="auto"/>
              <w:ind w:firstLine="215"/>
              <w:jc w:val="both"/>
              <w:rPr>
                <w:rFonts w:eastAsia="Times New Roman"/>
                <w:lang w:val="uk-UA"/>
              </w:rPr>
            </w:pPr>
          </w:p>
        </w:tc>
      </w:tr>
      <w:tr w:rsidR="0051575F" w:rsidRPr="00750B42" w14:paraId="432DCF2A" w14:textId="77777777" w:rsidTr="00BF1421">
        <w:tc>
          <w:tcPr>
            <w:tcW w:w="2552" w:type="dxa"/>
            <w:shd w:val="clear" w:color="auto" w:fill="auto"/>
          </w:tcPr>
          <w:p w14:paraId="2527AEDA" w14:textId="77777777" w:rsidR="005D2F24" w:rsidRPr="0051575F" w:rsidRDefault="005D2F24" w:rsidP="001D6F9F">
            <w:pPr>
              <w:spacing w:line="276" w:lineRule="auto"/>
              <w:rPr>
                <w:rFonts w:eastAsia="Times New Roman"/>
                <w:lang w:val="uk-UA"/>
              </w:rPr>
            </w:pPr>
            <w:r w:rsidRPr="0051575F">
              <w:rPr>
                <w:rFonts w:eastAsia="Times New Roman"/>
                <w:lang w:val="uk-UA"/>
              </w:rPr>
              <w:t>Альтернатива 2:</w:t>
            </w:r>
          </w:p>
          <w:p w14:paraId="7E6BA500" w14:textId="77777777" w:rsidR="005D2F24" w:rsidRPr="0051575F" w:rsidRDefault="005D2F24" w:rsidP="001D6F9F">
            <w:pPr>
              <w:spacing w:line="276" w:lineRule="auto"/>
              <w:jc w:val="both"/>
              <w:rPr>
                <w:rFonts w:eastAsia="Times New Roman"/>
                <w:lang w:val="uk-UA"/>
              </w:rPr>
            </w:pPr>
            <w:r w:rsidRPr="0051575F">
              <w:rPr>
                <w:rFonts w:eastAsia="Times New Roman"/>
                <w:lang w:val="uk-UA"/>
              </w:rPr>
              <w:t>Залишення існуючої на даний момент ситуації без змін</w:t>
            </w:r>
          </w:p>
        </w:tc>
        <w:tc>
          <w:tcPr>
            <w:tcW w:w="7195" w:type="dxa"/>
            <w:shd w:val="clear" w:color="auto" w:fill="auto"/>
          </w:tcPr>
          <w:p w14:paraId="02A5FFF8" w14:textId="77777777" w:rsidR="000156AF" w:rsidRPr="0051575F" w:rsidRDefault="00BF1421" w:rsidP="001D6F9F">
            <w:pPr>
              <w:spacing w:line="276" w:lineRule="auto"/>
              <w:ind w:firstLine="317"/>
              <w:jc w:val="both"/>
              <w:rPr>
                <w:rFonts w:eastAsia="Times New Roman"/>
                <w:lang w:val="uk-UA" w:eastAsia="uk-UA"/>
              </w:rPr>
            </w:pPr>
            <w:r w:rsidRPr="0051575F">
              <w:rPr>
                <w:rFonts w:eastAsia="Times New Roman"/>
                <w:lang w:val="uk-UA"/>
              </w:rPr>
              <w:t xml:space="preserve">Залишення існуючої на даний момент ситуації без змін не є можливим, оскільки </w:t>
            </w:r>
            <w:r w:rsidR="00491E29" w:rsidRPr="0051575F">
              <w:rPr>
                <w:rFonts w:eastAsia="Times New Roman"/>
                <w:lang w:val="uk-UA" w:eastAsia="uk-UA"/>
              </w:rPr>
              <w:t xml:space="preserve">відсутній механізм правового регулювання критеріїв, за якими оцінюється ступінь ризику від провадження господарської діяльності суб’єктами господарювання в частині дотримання вимог законодавства </w:t>
            </w:r>
            <w:r w:rsidR="00AB6494" w:rsidRPr="0051575F">
              <w:rPr>
                <w:rFonts w:eastAsia="Times New Roman"/>
                <w:lang w:val="uk-UA" w:eastAsia="uk-UA"/>
              </w:rPr>
              <w:t>в галузі електроенергетики та сфері теплопостачання</w:t>
            </w:r>
            <w:r w:rsidR="00491E29" w:rsidRPr="0051575F">
              <w:rPr>
                <w:rFonts w:eastAsia="Times New Roman"/>
                <w:lang w:val="uk-UA" w:eastAsia="uk-UA"/>
              </w:rPr>
              <w:t>. Таким чином,  досягнення визначених цілей неможливе.</w:t>
            </w:r>
          </w:p>
          <w:p w14:paraId="35597016" w14:textId="77777777" w:rsidR="00D6154A" w:rsidRPr="0051575F" w:rsidRDefault="00D6154A" w:rsidP="00E80077">
            <w:pPr>
              <w:spacing w:line="276" w:lineRule="auto"/>
              <w:ind w:firstLine="317"/>
              <w:jc w:val="both"/>
              <w:rPr>
                <w:rFonts w:eastAsia="Times New Roman"/>
                <w:i/>
                <w:lang w:val="uk-UA"/>
              </w:rPr>
            </w:pPr>
            <w:r w:rsidRPr="0051575F">
              <w:rPr>
                <w:rFonts w:eastAsia="Times New Roman"/>
                <w:lang w:val="uk-UA" w:eastAsia="uk-UA"/>
              </w:rPr>
              <w:t>Відсутність уніфікованого підходу планування заходів з державного нагляду (контролю)</w:t>
            </w:r>
            <w:r w:rsidR="00E80077" w:rsidRPr="0051575F">
              <w:rPr>
                <w:rFonts w:eastAsia="Times New Roman"/>
                <w:lang w:val="uk-UA" w:eastAsia="uk-UA"/>
              </w:rPr>
              <w:t xml:space="preserve">, унеможливлення оцінки </w:t>
            </w:r>
            <w:r w:rsidR="00E80077" w:rsidRPr="0051575F">
              <w:rPr>
                <w:rFonts w:eastAsia="Times New Roman"/>
                <w:lang w:val="uk-UA" w:eastAsia="uk-UA"/>
              </w:rPr>
              <w:lastRenderedPageBreak/>
              <w:t xml:space="preserve">ефективності проведення заходів з енергетичного нагляду (контролю) </w:t>
            </w:r>
          </w:p>
        </w:tc>
      </w:tr>
    </w:tbl>
    <w:p w14:paraId="4F716090" w14:textId="77777777" w:rsidR="00E74A4B" w:rsidRPr="0051575F" w:rsidRDefault="00E74A4B" w:rsidP="001D6F9F">
      <w:pPr>
        <w:shd w:val="clear" w:color="auto" w:fill="FFFFFF"/>
        <w:spacing w:after="150" w:line="276" w:lineRule="auto"/>
        <w:ind w:firstLine="450"/>
        <w:jc w:val="both"/>
        <w:textAlignment w:val="baseline"/>
        <w:rPr>
          <w:rFonts w:eastAsia="Times New Roman"/>
          <w:sz w:val="20"/>
          <w:szCs w:val="20"/>
          <w:lang w:val="uk-UA"/>
        </w:rPr>
      </w:pPr>
    </w:p>
    <w:p w14:paraId="4B925A24" w14:textId="77777777" w:rsidR="00E74A4B" w:rsidRPr="0051575F" w:rsidRDefault="00223E72" w:rsidP="001D6F9F">
      <w:pPr>
        <w:shd w:val="clear" w:color="auto" w:fill="FFFFFF"/>
        <w:spacing w:after="150" w:line="276" w:lineRule="auto"/>
        <w:ind w:firstLine="448"/>
        <w:contextualSpacing/>
        <w:jc w:val="both"/>
        <w:textAlignment w:val="baseline"/>
        <w:rPr>
          <w:rFonts w:eastAsia="Times New Roman"/>
          <w:sz w:val="28"/>
          <w:szCs w:val="28"/>
          <w:lang w:val="uk-UA"/>
        </w:rPr>
      </w:pPr>
      <w:r w:rsidRPr="0051575F">
        <w:rPr>
          <w:rFonts w:eastAsia="Times New Roman"/>
          <w:sz w:val="28"/>
          <w:szCs w:val="28"/>
          <w:lang w:val="uk-UA"/>
        </w:rPr>
        <w:t>2. Оцінка вибраних альтернативних способів досягнення цілей</w:t>
      </w:r>
      <w:bookmarkStart w:id="1" w:name="n117"/>
      <w:bookmarkStart w:id="2" w:name="n118"/>
      <w:bookmarkEnd w:id="1"/>
      <w:bookmarkEnd w:id="2"/>
    </w:p>
    <w:p w14:paraId="4898EB26" w14:textId="77777777" w:rsidR="00223E72" w:rsidRPr="0051575F" w:rsidRDefault="00223E72" w:rsidP="001D6F9F">
      <w:pPr>
        <w:shd w:val="clear" w:color="auto" w:fill="FFFFFF"/>
        <w:spacing w:after="150" w:line="276" w:lineRule="auto"/>
        <w:ind w:firstLine="448"/>
        <w:contextualSpacing/>
        <w:jc w:val="both"/>
        <w:textAlignment w:val="baseline"/>
        <w:rPr>
          <w:rFonts w:eastAsia="Times New Roman"/>
          <w:sz w:val="28"/>
          <w:szCs w:val="28"/>
          <w:lang w:val="uk-UA"/>
        </w:rPr>
      </w:pPr>
      <w:r w:rsidRPr="0051575F">
        <w:rPr>
          <w:rFonts w:eastAsia="Times New Roman"/>
          <w:sz w:val="28"/>
          <w:szCs w:val="28"/>
          <w:lang w:val="uk-UA"/>
        </w:rPr>
        <w:t>Оцінка впливу на сферу інтересів держави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108"/>
        <w:gridCol w:w="3231"/>
      </w:tblGrid>
      <w:tr w:rsidR="0051575F" w:rsidRPr="0051575F" w14:paraId="0A9EC438" w14:textId="77777777" w:rsidTr="00C214D1">
        <w:tc>
          <w:tcPr>
            <w:tcW w:w="2263" w:type="dxa"/>
            <w:shd w:val="clear" w:color="auto" w:fill="auto"/>
          </w:tcPr>
          <w:p w14:paraId="2D81E301" w14:textId="77777777" w:rsidR="005D2F24" w:rsidRPr="0051575F" w:rsidRDefault="005D2F24" w:rsidP="001D6F9F">
            <w:pPr>
              <w:pStyle w:val="rvps2"/>
              <w:shd w:val="clear" w:color="auto" w:fill="FFFFFF"/>
              <w:spacing w:line="276" w:lineRule="auto"/>
              <w:ind w:firstLine="34"/>
              <w:jc w:val="center"/>
              <w:textAlignment w:val="baseline"/>
              <w:rPr>
                <w:b/>
                <w:lang w:val="uk-UA"/>
              </w:rPr>
            </w:pPr>
            <w:bookmarkStart w:id="3" w:name="n119"/>
            <w:bookmarkEnd w:id="3"/>
            <w:r w:rsidRPr="0051575F">
              <w:rPr>
                <w:b/>
                <w:lang w:val="uk-UA"/>
              </w:rPr>
              <w:t>Вид альтернативи</w:t>
            </w:r>
          </w:p>
        </w:tc>
        <w:tc>
          <w:tcPr>
            <w:tcW w:w="4108" w:type="dxa"/>
            <w:shd w:val="clear" w:color="auto" w:fill="auto"/>
          </w:tcPr>
          <w:p w14:paraId="6AEE5ACD" w14:textId="77777777" w:rsidR="005D2F24" w:rsidRPr="0051575F" w:rsidRDefault="005D2F24" w:rsidP="00B41EDC">
            <w:pPr>
              <w:pStyle w:val="rvps2"/>
              <w:shd w:val="clear" w:color="auto" w:fill="FFFFFF"/>
              <w:spacing w:line="276" w:lineRule="auto"/>
              <w:jc w:val="center"/>
              <w:textAlignment w:val="baseline"/>
              <w:rPr>
                <w:b/>
                <w:lang w:val="uk-UA"/>
              </w:rPr>
            </w:pPr>
            <w:r w:rsidRPr="0051575F">
              <w:rPr>
                <w:b/>
                <w:lang w:val="uk-UA"/>
              </w:rPr>
              <w:t>Вигоди</w:t>
            </w:r>
          </w:p>
        </w:tc>
        <w:tc>
          <w:tcPr>
            <w:tcW w:w="3231" w:type="dxa"/>
            <w:shd w:val="clear" w:color="auto" w:fill="auto"/>
          </w:tcPr>
          <w:p w14:paraId="551E6893" w14:textId="77777777" w:rsidR="005D2F24" w:rsidRPr="0051575F" w:rsidRDefault="005D2F24" w:rsidP="00B41EDC">
            <w:pPr>
              <w:pStyle w:val="rvps2"/>
              <w:shd w:val="clear" w:color="auto" w:fill="FFFFFF"/>
              <w:spacing w:line="276" w:lineRule="auto"/>
              <w:jc w:val="center"/>
              <w:textAlignment w:val="baseline"/>
              <w:rPr>
                <w:b/>
                <w:lang w:val="uk-UA"/>
              </w:rPr>
            </w:pPr>
            <w:r w:rsidRPr="0051575F">
              <w:rPr>
                <w:b/>
                <w:lang w:val="uk-UA"/>
              </w:rPr>
              <w:t>Витрати</w:t>
            </w:r>
          </w:p>
        </w:tc>
      </w:tr>
      <w:tr w:rsidR="0051575F" w:rsidRPr="00750B42" w14:paraId="4A395DCF" w14:textId="77777777" w:rsidTr="00C214D1">
        <w:tc>
          <w:tcPr>
            <w:tcW w:w="2263" w:type="dxa"/>
            <w:shd w:val="clear" w:color="auto" w:fill="auto"/>
          </w:tcPr>
          <w:p w14:paraId="07DA52A4" w14:textId="019C9386" w:rsidR="005D2F24" w:rsidRPr="0051575F" w:rsidRDefault="005D2F24" w:rsidP="006872BC">
            <w:pPr>
              <w:pStyle w:val="rvps2"/>
              <w:shd w:val="clear" w:color="auto" w:fill="FFFFFF"/>
              <w:spacing w:line="276" w:lineRule="auto"/>
              <w:ind w:firstLine="34"/>
              <w:contextualSpacing/>
              <w:textAlignment w:val="baseline"/>
              <w:rPr>
                <w:lang w:val="uk-UA"/>
              </w:rPr>
            </w:pPr>
            <w:r w:rsidRPr="0051575F">
              <w:rPr>
                <w:lang w:val="uk-UA"/>
              </w:rPr>
              <w:t>Альтернатива 1:</w:t>
            </w:r>
            <w:r w:rsidR="005A710C" w:rsidRPr="0051575F">
              <w:rPr>
                <w:lang w:val="uk-UA"/>
              </w:rPr>
              <w:t xml:space="preserve"> </w:t>
            </w:r>
            <w:r w:rsidR="009361DF" w:rsidRPr="0051575F">
              <w:rPr>
                <w:lang w:val="uk-UA"/>
              </w:rPr>
              <w:t xml:space="preserve">прийняття </w:t>
            </w:r>
            <w:proofErr w:type="spellStart"/>
            <w:r w:rsidR="009C2C13">
              <w:rPr>
                <w:lang w:val="uk-UA"/>
              </w:rPr>
              <w:t>проєкт</w:t>
            </w:r>
            <w:r w:rsidR="009361DF" w:rsidRPr="0051575F">
              <w:rPr>
                <w:lang w:val="uk-UA"/>
              </w:rPr>
              <w:t>у</w:t>
            </w:r>
            <w:proofErr w:type="spellEnd"/>
            <w:r w:rsidR="009361DF" w:rsidRPr="0051575F">
              <w:rPr>
                <w:lang w:val="uk-UA"/>
              </w:rPr>
              <w:t xml:space="preserve"> постанови Кабінету Міністрів України «Про затвердження критеріїв, за якими оцінюється ступінь ризику від провадження господарської діяльності в галузі електроенергетики та сфері теплопостачання і визначається періодичність здійснення</w:t>
            </w:r>
            <w:r w:rsidR="00BC50BD">
              <w:rPr>
                <w:lang w:val="uk-UA"/>
              </w:rPr>
              <w:t xml:space="preserve"> планових</w:t>
            </w:r>
            <w:r w:rsidR="009361DF" w:rsidRPr="0051575F">
              <w:rPr>
                <w:lang w:val="uk-UA"/>
              </w:rPr>
              <w:t xml:space="preserve"> заходів державного нагляду (контролю) Державною інспекцією енергетичного нагляду та визнання такими, що втратили чинність, деяких постанов Кабінету Міністрів України»</w:t>
            </w:r>
          </w:p>
        </w:tc>
        <w:tc>
          <w:tcPr>
            <w:tcW w:w="4108" w:type="dxa"/>
            <w:shd w:val="clear" w:color="auto" w:fill="auto"/>
          </w:tcPr>
          <w:p w14:paraId="5DA11D31" w14:textId="77777777" w:rsidR="0057108D" w:rsidRPr="0051575F" w:rsidRDefault="0057108D" w:rsidP="006872BC">
            <w:pPr>
              <w:spacing w:line="276" w:lineRule="auto"/>
              <w:ind w:firstLine="317"/>
              <w:contextualSpacing/>
              <w:rPr>
                <w:rFonts w:eastAsia="Times New Roman"/>
                <w:lang w:val="uk-UA"/>
              </w:rPr>
            </w:pPr>
            <w:r w:rsidRPr="0051575F">
              <w:rPr>
                <w:rFonts w:eastAsia="Times New Roman"/>
                <w:lang w:val="uk-UA"/>
              </w:rPr>
              <w:t>Спрощення державного регулювання за умови уніфікованого підходу до здійснення заходів з державного енергетичного нагляду (контролю), забезпечення аналізу ефективності здійснення заходів з державного енергетичного нагляду (контролю).</w:t>
            </w:r>
          </w:p>
          <w:p w14:paraId="08E9C2D0" w14:textId="77777777" w:rsidR="00391531" w:rsidRPr="0051575F" w:rsidRDefault="00391531" w:rsidP="006872BC">
            <w:pPr>
              <w:spacing w:line="276" w:lineRule="auto"/>
              <w:ind w:firstLine="317"/>
              <w:contextualSpacing/>
              <w:rPr>
                <w:rFonts w:eastAsia="Times New Roman"/>
                <w:lang w:val="uk-UA"/>
              </w:rPr>
            </w:pPr>
            <w:r w:rsidRPr="0051575F">
              <w:rPr>
                <w:rFonts w:eastAsia="Times New Roman"/>
                <w:lang w:val="uk-UA"/>
              </w:rPr>
              <w:t>Є необхідним і достатнім способом вирішення проблемних питань.</w:t>
            </w:r>
          </w:p>
          <w:p w14:paraId="0AE34928" w14:textId="5B6A16FD" w:rsidR="0096610E" w:rsidRPr="0051575F" w:rsidRDefault="007012BA" w:rsidP="006872BC">
            <w:pPr>
              <w:spacing w:line="276" w:lineRule="auto"/>
              <w:ind w:firstLine="317"/>
              <w:contextualSpacing/>
              <w:rPr>
                <w:rFonts w:eastAsia="Times New Roman"/>
                <w:lang w:val="uk-UA" w:eastAsia="uk-UA"/>
              </w:rPr>
            </w:pPr>
            <w:r w:rsidRPr="0051575F">
              <w:rPr>
                <w:rFonts w:eastAsia="Times New Roman"/>
                <w:lang w:val="uk-UA" w:eastAsia="uk-UA"/>
              </w:rPr>
              <w:t xml:space="preserve">Прийняття </w:t>
            </w:r>
            <w:proofErr w:type="spellStart"/>
            <w:r w:rsidR="009C2C13">
              <w:rPr>
                <w:rFonts w:eastAsia="Times New Roman"/>
                <w:lang w:val="uk-UA" w:eastAsia="uk-UA"/>
              </w:rPr>
              <w:t>проєкт</w:t>
            </w:r>
            <w:r w:rsidRPr="0051575F">
              <w:rPr>
                <w:rFonts w:eastAsia="Times New Roman"/>
                <w:lang w:val="uk-UA" w:eastAsia="uk-UA"/>
              </w:rPr>
              <w:t>у</w:t>
            </w:r>
            <w:proofErr w:type="spellEnd"/>
            <w:r w:rsidRPr="0051575F">
              <w:rPr>
                <w:rFonts w:eastAsia="Times New Roman"/>
                <w:lang w:val="uk-UA" w:eastAsia="uk-UA"/>
              </w:rPr>
              <w:t xml:space="preserve"> </w:t>
            </w:r>
            <w:proofErr w:type="spellStart"/>
            <w:r w:rsidRPr="0051575F">
              <w:rPr>
                <w:rFonts w:eastAsia="Times New Roman"/>
                <w:lang w:val="uk-UA" w:eastAsia="uk-UA"/>
              </w:rPr>
              <w:t>акта</w:t>
            </w:r>
            <w:proofErr w:type="spellEnd"/>
            <w:r w:rsidRPr="0051575F">
              <w:rPr>
                <w:rFonts w:eastAsia="Times New Roman"/>
                <w:lang w:val="uk-UA" w:eastAsia="uk-UA"/>
              </w:rPr>
              <w:t xml:space="preserve"> забезпечить удосконалення державного нагляду (контролю) за додержанням  суб’єктами господарювання законодавства </w:t>
            </w:r>
            <w:r w:rsidR="00AB6494" w:rsidRPr="0051575F">
              <w:rPr>
                <w:rFonts w:eastAsia="Times New Roman"/>
                <w:lang w:val="uk-UA" w:eastAsia="uk-UA"/>
              </w:rPr>
              <w:t>в галузі електроенергетики та сфері теплопостачання</w:t>
            </w:r>
            <w:r w:rsidRPr="0051575F">
              <w:rPr>
                <w:rFonts w:eastAsia="Times New Roman"/>
                <w:lang w:val="uk-UA" w:eastAsia="uk-UA"/>
              </w:rPr>
              <w:t xml:space="preserve">; забезпечить єдиний підхід до планування перевірок;  сприятиме прозорості діяльності посадових осіб </w:t>
            </w:r>
            <w:proofErr w:type="spellStart"/>
            <w:r w:rsidR="00AB6494" w:rsidRPr="0051575F">
              <w:rPr>
                <w:rFonts w:eastAsia="Times New Roman"/>
                <w:lang w:val="uk-UA" w:eastAsia="uk-UA"/>
              </w:rPr>
              <w:t>Держенергонагляду</w:t>
            </w:r>
            <w:proofErr w:type="spellEnd"/>
            <w:r w:rsidRPr="0051575F">
              <w:rPr>
                <w:rFonts w:eastAsia="Times New Roman"/>
                <w:lang w:val="uk-UA" w:eastAsia="uk-UA"/>
              </w:rPr>
              <w:t xml:space="preserve"> та прийнятих ними рішень за наслідками перевірок з метою запобігання корупційних ризиків; сприятиме зниженню державного тиску на суб’єктів господарювання шляхом зменшення кількості проведених заходів державного нагляду (контролю).</w:t>
            </w:r>
          </w:p>
          <w:p w14:paraId="4C7A41B9" w14:textId="77777777" w:rsidR="00386898" w:rsidRPr="0051575F" w:rsidRDefault="00386898" w:rsidP="006872BC">
            <w:pPr>
              <w:spacing w:line="276" w:lineRule="auto"/>
              <w:ind w:firstLine="317"/>
              <w:contextualSpacing/>
              <w:rPr>
                <w:lang w:val="uk-UA"/>
              </w:rPr>
            </w:pPr>
          </w:p>
        </w:tc>
        <w:tc>
          <w:tcPr>
            <w:tcW w:w="3231" w:type="dxa"/>
            <w:shd w:val="clear" w:color="auto" w:fill="auto"/>
          </w:tcPr>
          <w:p w14:paraId="093826E9" w14:textId="0C430451" w:rsidR="00391531" w:rsidRPr="0051575F" w:rsidRDefault="008A1B44" w:rsidP="006872BC">
            <w:pPr>
              <w:spacing w:line="276" w:lineRule="auto"/>
              <w:ind w:firstLine="381"/>
              <w:rPr>
                <w:rFonts w:eastAsia="Times New Roman"/>
                <w:lang w:val="uk-UA"/>
              </w:rPr>
            </w:pPr>
            <w:r w:rsidRPr="0051575F">
              <w:rPr>
                <w:rFonts w:eastAsia="Times New Roman"/>
                <w:lang w:val="uk-UA"/>
              </w:rPr>
              <w:t xml:space="preserve">Додаткові витрати держави у зв’язку </w:t>
            </w:r>
            <w:r w:rsidR="00CD6344" w:rsidRPr="0051575F">
              <w:rPr>
                <w:rFonts w:eastAsia="Times New Roman"/>
                <w:lang w:val="uk-UA"/>
              </w:rPr>
              <w:t>і</w:t>
            </w:r>
            <w:r w:rsidRPr="0051575F">
              <w:rPr>
                <w:rFonts w:eastAsia="Times New Roman"/>
                <w:lang w:val="uk-UA"/>
              </w:rPr>
              <w:t>з запровадженням запр</w:t>
            </w:r>
            <w:r w:rsidR="00DA7693" w:rsidRPr="0051575F">
              <w:rPr>
                <w:rFonts w:eastAsia="Times New Roman"/>
                <w:lang w:val="uk-UA"/>
              </w:rPr>
              <w:t xml:space="preserve">опонованої редакції </w:t>
            </w:r>
            <w:proofErr w:type="spellStart"/>
            <w:r w:rsidR="009C2C13">
              <w:rPr>
                <w:rFonts w:eastAsia="Times New Roman"/>
                <w:lang w:val="uk-UA"/>
              </w:rPr>
              <w:t>проєкт</w:t>
            </w:r>
            <w:r w:rsidR="00DA7693" w:rsidRPr="0051575F">
              <w:rPr>
                <w:rFonts w:eastAsia="Times New Roman"/>
                <w:lang w:val="uk-UA"/>
              </w:rPr>
              <w:t>у</w:t>
            </w:r>
            <w:proofErr w:type="spellEnd"/>
            <w:r w:rsidR="00DA7693" w:rsidRPr="0051575F">
              <w:rPr>
                <w:rFonts w:eastAsia="Times New Roman"/>
                <w:lang w:val="uk-UA"/>
              </w:rPr>
              <w:t xml:space="preserve"> </w:t>
            </w:r>
            <w:proofErr w:type="spellStart"/>
            <w:r w:rsidR="00DA7693" w:rsidRPr="0051575F">
              <w:rPr>
                <w:rFonts w:eastAsia="Times New Roman"/>
                <w:lang w:val="uk-UA"/>
              </w:rPr>
              <w:t>акта</w:t>
            </w:r>
            <w:proofErr w:type="spellEnd"/>
            <w:r w:rsidRPr="0051575F">
              <w:rPr>
                <w:rFonts w:eastAsia="Times New Roman"/>
                <w:lang w:val="uk-UA"/>
              </w:rPr>
              <w:t xml:space="preserve"> не виникають </w:t>
            </w:r>
          </w:p>
        </w:tc>
      </w:tr>
      <w:tr w:rsidR="0051575F" w:rsidRPr="00750B42" w14:paraId="16E6E1E9" w14:textId="77777777" w:rsidTr="00C214D1">
        <w:tc>
          <w:tcPr>
            <w:tcW w:w="2263" w:type="dxa"/>
            <w:shd w:val="clear" w:color="auto" w:fill="auto"/>
          </w:tcPr>
          <w:p w14:paraId="15D0ABA3" w14:textId="77777777" w:rsidR="005D2F24" w:rsidRPr="0051575F" w:rsidRDefault="005D2F24" w:rsidP="001D6F9F">
            <w:pPr>
              <w:pStyle w:val="rvps2"/>
              <w:shd w:val="clear" w:color="auto" w:fill="FFFFFF"/>
              <w:spacing w:line="276" w:lineRule="auto"/>
              <w:ind w:firstLine="34"/>
              <w:jc w:val="both"/>
              <w:textAlignment w:val="baseline"/>
              <w:rPr>
                <w:lang w:val="uk-UA"/>
              </w:rPr>
            </w:pPr>
            <w:r w:rsidRPr="0051575F">
              <w:rPr>
                <w:lang w:val="uk-UA"/>
              </w:rPr>
              <w:t>Альтернатива 2:</w:t>
            </w:r>
            <w:r w:rsidR="005A710C" w:rsidRPr="0051575F">
              <w:rPr>
                <w:lang w:val="uk-UA"/>
              </w:rPr>
              <w:t xml:space="preserve"> </w:t>
            </w:r>
            <w:r w:rsidRPr="0051575F">
              <w:rPr>
                <w:lang w:val="uk-UA"/>
              </w:rPr>
              <w:t>Залишення існуючої на даний момент ситуації без змін</w:t>
            </w:r>
            <w:r w:rsidR="00391531" w:rsidRPr="0051575F">
              <w:rPr>
                <w:lang w:val="uk-UA"/>
              </w:rPr>
              <w:t xml:space="preserve"> </w:t>
            </w:r>
          </w:p>
        </w:tc>
        <w:tc>
          <w:tcPr>
            <w:tcW w:w="4108" w:type="dxa"/>
            <w:shd w:val="clear" w:color="auto" w:fill="auto"/>
          </w:tcPr>
          <w:p w14:paraId="0155531A" w14:textId="77777777" w:rsidR="000121F6" w:rsidRPr="0051575F" w:rsidRDefault="000121F6" w:rsidP="006872BC">
            <w:pPr>
              <w:pStyle w:val="a5"/>
              <w:spacing w:line="276" w:lineRule="auto"/>
              <w:ind w:firstLine="0"/>
              <w:jc w:val="left"/>
              <w:rPr>
                <w:sz w:val="24"/>
                <w:szCs w:val="24"/>
              </w:rPr>
            </w:pPr>
            <w:r w:rsidRPr="0051575F">
              <w:rPr>
                <w:sz w:val="24"/>
                <w:szCs w:val="24"/>
              </w:rPr>
              <w:t>Вигоди відсутні, оскільки проблема залишиться не вирішеною.</w:t>
            </w:r>
          </w:p>
          <w:p w14:paraId="4161B97A" w14:textId="77777777" w:rsidR="005D2F24" w:rsidRPr="0051575F" w:rsidRDefault="003C0FA3" w:rsidP="006872BC">
            <w:pPr>
              <w:pStyle w:val="a5"/>
              <w:spacing w:line="276" w:lineRule="auto"/>
              <w:ind w:firstLine="0"/>
              <w:jc w:val="left"/>
              <w:rPr>
                <w:sz w:val="24"/>
                <w:szCs w:val="24"/>
                <w:lang w:eastAsia="uk-UA"/>
              </w:rPr>
            </w:pPr>
            <w:r w:rsidRPr="0051575F">
              <w:rPr>
                <w:sz w:val="24"/>
                <w:szCs w:val="24"/>
                <w:lang w:eastAsia="uk-UA"/>
              </w:rPr>
              <w:t xml:space="preserve">Проблема не може бути розв’язана за допомогою діючих регуляторних актів, оскільки основним регуляторним актом у даній сфері мають бути критерії, за якими оцінюється ступінь ризику від провадження господарської </w:t>
            </w:r>
            <w:r w:rsidRPr="0051575F">
              <w:rPr>
                <w:sz w:val="24"/>
                <w:szCs w:val="24"/>
                <w:lang w:eastAsia="uk-UA"/>
              </w:rPr>
              <w:lastRenderedPageBreak/>
              <w:t xml:space="preserve">діяльності суб’єктами господарювання в частині дотримання вимог законодавства </w:t>
            </w:r>
            <w:r w:rsidR="006D42C7" w:rsidRPr="0051575F">
              <w:rPr>
                <w:sz w:val="24"/>
                <w:szCs w:val="24"/>
                <w:lang w:eastAsia="uk-UA"/>
              </w:rPr>
              <w:t>в галузі електроенергетики та сфері теплопостачання</w:t>
            </w:r>
            <w:r w:rsidRPr="0051575F">
              <w:rPr>
                <w:sz w:val="24"/>
                <w:szCs w:val="24"/>
                <w:lang w:eastAsia="uk-UA"/>
              </w:rPr>
              <w:t xml:space="preserve">, визначається періодичність здійснення </w:t>
            </w:r>
            <w:proofErr w:type="spellStart"/>
            <w:r w:rsidR="006D42C7" w:rsidRPr="0051575F">
              <w:rPr>
                <w:sz w:val="24"/>
                <w:szCs w:val="24"/>
                <w:lang w:eastAsia="uk-UA"/>
              </w:rPr>
              <w:t>Держенергонаглядом</w:t>
            </w:r>
            <w:proofErr w:type="spellEnd"/>
            <w:r w:rsidRPr="0051575F">
              <w:rPr>
                <w:sz w:val="24"/>
                <w:szCs w:val="24"/>
                <w:lang w:eastAsia="uk-UA"/>
              </w:rPr>
              <w:t xml:space="preserve"> та </w:t>
            </w:r>
            <w:r w:rsidR="006D42C7" w:rsidRPr="0051575F">
              <w:rPr>
                <w:sz w:val="24"/>
                <w:szCs w:val="24"/>
                <w:lang w:eastAsia="uk-UA"/>
              </w:rPr>
              <w:t xml:space="preserve">його </w:t>
            </w:r>
            <w:r w:rsidRPr="0051575F">
              <w:rPr>
                <w:sz w:val="24"/>
                <w:szCs w:val="24"/>
                <w:lang w:eastAsia="uk-UA"/>
              </w:rPr>
              <w:t>територіальними органами планових заходів державного нагляду (контролю).</w:t>
            </w:r>
          </w:p>
          <w:p w14:paraId="5D155D87" w14:textId="77777777" w:rsidR="004202A0" w:rsidRPr="0051575F" w:rsidRDefault="000569B6" w:rsidP="006872BC">
            <w:pPr>
              <w:pStyle w:val="a5"/>
              <w:spacing w:line="276" w:lineRule="auto"/>
              <w:ind w:firstLine="0"/>
              <w:jc w:val="left"/>
            </w:pPr>
            <w:r w:rsidRPr="0051575F">
              <w:rPr>
                <w:sz w:val="24"/>
                <w:szCs w:val="24"/>
                <w:lang w:eastAsia="uk-UA"/>
              </w:rPr>
              <w:t xml:space="preserve">Вищезазначене </w:t>
            </w:r>
            <w:r w:rsidR="009C7A94" w:rsidRPr="0051575F">
              <w:rPr>
                <w:sz w:val="24"/>
                <w:szCs w:val="24"/>
                <w:lang w:eastAsia="uk-UA"/>
              </w:rPr>
              <w:t xml:space="preserve">суперечить </w:t>
            </w:r>
            <w:r w:rsidR="004202A0" w:rsidRPr="0051575F">
              <w:rPr>
                <w:sz w:val="24"/>
                <w:szCs w:val="24"/>
                <w:lang w:eastAsia="uk-UA"/>
              </w:rPr>
              <w:t>Закону України «Про основні засади державного нагляду (контролю) у сфері господарської діяльності»</w:t>
            </w:r>
          </w:p>
        </w:tc>
        <w:tc>
          <w:tcPr>
            <w:tcW w:w="3231" w:type="dxa"/>
            <w:shd w:val="clear" w:color="auto" w:fill="auto"/>
          </w:tcPr>
          <w:p w14:paraId="17B1F20A" w14:textId="77777777" w:rsidR="007F3379" w:rsidRPr="0051575F" w:rsidRDefault="007F3379" w:rsidP="006872BC">
            <w:pPr>
              <w:spacing w:line="276" w:lineRule="auto"/>
              <w:rPr>
                <w:rFonts w:eastAsia="Times New Roman"/>
                <w:lang w:val="uk-UA"/>
              </w:rPr>
            </w:pPr>
            <w:r w:rsidRPr="0051575F">
              <w:rPr>
                <w:rFonts w:eastAsia="Times New Roman"/>
                <w:lang w:val="uk-UA"/>
              </w:rPr>
              <w:lastRenderedPageBreak/>
              <w:t xml:space="preserve">Відсутнє забезпечення системи </w:t>
            </w:r>
            <w:r w:rsidR="0034197A" w:rsidRPr="0051575F">
              <w:rPr>
                <w:rFonts w:eastAsia="Times New Roman"/>
                <w:lang w:val="uk-UA"/>
              </w:rPr>
              <w:t xml:space="preserve">державного </w:t>
            </w:r>
            <w:r w:rsidRPr="0051575F">
              <w:rPr>
                <w:rFonts w:eastAsia="Times New Roman"/>
                <w:lang w:val="uk-UA"/>
              </w:rPr>
              <w:t>регулювання державного енергетичного нагляду (контролю)</w:t>
            </w:r>
            <w:r w:rsidR="0034197A" w:rsidRPr="0051575F">
              <w:rPr>
                <w:rFonts w:eastAsia="Times New Roman"/>
                <w:lang w:val="uk-UA"/>
              </w:rPr>
              <w:t xml:space="preserve"> у сферах електроенергетики та теплопостачання.</w:t>
            </w:r>
          </w:p>
          <w:p w14:paraId="209F35FD" w14:textId="77777777" w:rsidR="00386898" w:rsidRPr="0051575F" w:rsidRDefault="000121F6" w:rsidP="00B32D1B">
            <w:pPr>
              <w:spacing w:line="276" w:lineRule="auto"/>
              <w:rPr>
                <w:lang w:val="uk-UA"/>
              </w:rPr>
            </w:pPr>
            <w:r w:rsidRPr="0051575F">
              <w:rPr>
                <w:rFonts w:eastAsia="Times New Roman"/>
                <w:lang w:val="uk-UA"/>
              </w:rPr>
              <w:t xml:space="preserve">Альтернатива є неприйнятною, оскільки не </w:t>
            </w:r>
            <w:r w:rsidRPr="0051575F">
              <w:rPr>
                <w:rFonts w:eastAsia="Times New Roman"/>
                <w:lang w:val="uk-UA"/>
              </w:rPr>
              <w:lastRenderedPageBreak/>
              <w:t>забезпеч</w:t>
            </w:r>
            <w:r w:rsidR="002A6F8F" w:rsidRPr="0051575F">
              <w:rPr>
                <w:rFonts w:eastAsia="Times New Roman"/>
                <w:lang w:val="uk-UA"/>
              </w:rPr>
              <w:t>ує досягнення  поставленої мети</w:t>
            </w:r>
            <w:r w:rsidR="0001007B" w:rsidRPr="0051575F">
              <w:rPr>
                <w:rFonts w:eastAsia="Times New Roman"/>
                <w:lang w:val="uk-UA"/>
              </w:rPr>
              <w:t>.</w:t>
            </w:r>
            <w:r w:rsidR="002A6F8F" w:rsidRPr="0051575F">
              <w:rPr>
                <w:rFonts w:eastAsia="Times New Roman"/>
                <w:lang w:val="uk-UA"/>
              </w:rPr>
              <w:t xml:space="preserve"> </w:t>
            </w:r>
            <w:r w:rsidR="00CE02F0" w:rsidRPr="0051575F">
              <w:rPr>
                <w:rFonts w:eastAsia="Times New Roman"/>
                <w:lang w:val="uk-UA" w:eastAsia="uk-UA"/>
              </w:rPr>
              <w:t xml:space="preserve">Неможливість належно  виконувати покладені законодавством на </w:t>
            </w:r>
            <w:proofErr w:type="spellStart"/>
            <w:r w:rsidR="006D42C7" w:rsidRPr="0051575F">
              <w:rPr>
                <w:rFonts w:eastAsia="Times New Roman"/>
                <w:lang w:val="uk-UA" w:eastAsia="uk-UA"/>
              </w:rPr>
              <w:t>Держенергонагляд</w:t>
            </w:r>
            <w:proofErr w:type="spellEnd"/>
            <w:r w:rsidR="000B63EB" w:rsidRPr="0051575F">
              <w:rPr>
                <w:rFonts w:eastAsia="Times New Roman"/>
                <w:lang w:val="uk-UA" w:eastAsia="uk-UA"/>
              </w:rPr>
              <w:t xml:space="preserve"> </w:t>
            </w:r>
            <w:r w:rsidR="00CE02F0" w:rsidRPr="0051575F">
              <w:rPr>
                <w:rFonts w:eastAsia="Times New Roman"/>
                <w:lang w:val="uk-UA" w:eastAsia="uk-UA"/>
              </w:rPr>
              <w:t xml:space="preserve">функції та повноваження щодо здійснення державного нагляду (контролю) за додержанням суб’єктами господарювання законодавства </w:t>
            </w:r>
            <w:r w:rsidR="006D42C7" w:rsidRPr="0051575F">
              <w:rPr>
                <w:rFonts w:eastAsia="Times New Roman"/>
                <w:lang w:val="uk-UA" w:eastAsia="uk-UA"/>
              </w:rPr>
              <w:t>в галузі електроенергетики та сфері теплопостачання</w:t>
            </w:r>
            <w:r w:rsidR="00CE02F0" w:rsidRPr="0051575F">
              <w:rPr>
                <w:rFonts w:eastAsia="Times New Roman"/>
                <w:lang w:val="uk-UA" w:eastAsia="uk-UA"/>
              </w:rPr>
              <w:t>.</w:t>
            </w:r>
          </w:p>
        </w:tc>
      </w:tr>
    </w:tbl>
    <w:p w14:paraId="3275678F" w14:textId="77777777" w:rsidR="00130E43" w:rsidRPr="0051575F" w:rsidRDefault="00130E43" w:rsidP="001D6F9F">
      <w:pPr>
        <w:pStyle w:val="rvps2"/>
        <w:shd w:val="clear" w:color="auto" w:fill="FFFFFF"/>
        <w:spacing w:before="0" w:beforeAutospacing="0" w:after="0" w:afterAutospacing="0" w:line="276" w:lineRule="auto"/>
        <w:ind w:firstLine="448"/>
        <w:jc w:val="both"/>
        <w:textAlignment w:val="baseline"/>
        <w:rPr>
          <w:sz w:val="20"/>
          <w:szCs w:val="20"/>
          <w:lang w:val="uk-UA"/>
        </w:rPr>
      </w:pPr>
    </w:p>
    <w:p w14:paraId="5D12B077" w14:textId="77777777" w:rsidR="0025757A" w:rsidRPr="0051575F" w:rsidRDefault="0025757A" w:rsidP="00873F44">
      <w:pPr>
        <w:shd w:val="clear" w:color="auto" w:fill="FFFFFF"/>
        <w:spacing w:after="150" w:line="276" w:lineRule="auto"/>
        <w:ind w:firstLine="448"/>
        <w:contextualSpacing/>
        <w:jc w:val="both"/>
        <w:textAlignment w:val="baseline"/>
        <w:rPr>
          <w:rFonts w:eastAsia="Times New Roman"/>
          <w:sz w:val="28"/>
          <w:szCs w:val="28"/>
          <w:lang w:val="uk-UA"/>
        </w:rPr>
      </w:pPr>
    </w:p>
    <w:p w14:paraId="3108A511" w14:textId="77777777" w:rsidR="00873F44" w:rsidRPr="0051575F" w:rsidRDefault="00873F44" w:rsidP="00873F44">
      <w:pPr>
        <w:shd w:val="clear" w:color="auto" w:fill="FFFFFF"/>
        <w:spacing w:after="150" w:line="276" w:lineRule="auto"/>
        <w:ind w:firstLine="448"/>
        <w:contextualSpacing/>
        <w:jc w:val="both"/>
        <w:textAlignment w:val="baseline"/>
        <w:rPr>
          <w:rFonts w:eastAsia="Times New Roman"/>
          <w:sz w:val="28"/>
          <w:szCs w:val="28"/>
          <w:lang w:val="uk-UA"/>
        </w:rPr>
      </w:pPr>
      <w:r w:rsidRPr="0051575F">
        <w:rPr>
          <w:rFonts w:eastAsia="Times New Roman"/>
          <w:sz w:val="28"/>
          <w:szCs w:val="28"/>
          <w:lang w:val="uk-UA"/>
        </w:rPr>
        <w:t xml:space="preserve">Оцінка впливу на сферу інтересів </w:t>
      </w:r>
      <w:r w:rsidR="00DE0049" w:rsidRPr="0051575F">
        <w:rPr>
          <w:rFonts w:eastAsia="Times New Roman"/>
          <w:sz w:val="28"/>
          <w:szCs w:val="28"/>
          <w:lang w:val="uk-UA"/>
        </w:rPr>
        <w:t>громадян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108"/>
        <w:gridCol w:w="3231"/>
      </w:tblGrid>
      <w:tr w:rsidR="0051575F" w:rsidRPr="0051575F" w14:paraId="4DE1B7EA" w14:textId="77777777" w:rsidTr="00F22CF6">
        <w:tc>
          <w:tcPr>
            <w:tcW w:w="2263" w:type="dxa"/>
            <w:shd w:val="clear" w:color="auto" w:fill="auto"/>
          </w:tcPr>
          <w:p w14:paraId="33B13CDE" w14:textId="77777777" w:rsidR="00873F44" w:rsidRPr="0051575F" w:rsidRDefault="00873F44" w:rsidP="00F22CF6">
            <w:pPr>
              <w:pStyle w:val="rvps2"/>
              <w:shd w:val="clear" w:color="auto" w:fill="FFFFFF"/>
              <w:spacing w:line="276" w:lineRule="auto"/>
              <w:ind w:firstLine="34"/>
              <w:jc w:val="center"/>
              <w:textAlignment w:val="baseline"/>
              <w:rPr>
                <w:b/>
                <w:lang w:val="uk-UA"/>
              </w:rPr>
            </w:pPr>
            <w:r w:rsidRPr="0051575F">
              <w:rPr>
                <w:b/>
                <w:lang w:val="uk-UA"/>
              </w:rPr>
              <w:t>Вид альтернативи</w:t>
            </w:r>
          </w:p>
        </w:tc>
        <w:tc>
          <w:tcPr>
            <w:tcW w:w="4108" w:type="dxa"/>
            <w:shd w:val="clear" w:color="auto" w:fill="auto"/>
          </w:tcPr>
          <w:p w14:paraId="3178D343" w14:textId="77777777" w:rsidR="00873F44" w:rsidRPr="0051575F" w:rsidRDefault="00873F44" w:rsidP="00F22CF6">
            <w:pPr>
              <w:pStyle w:val="rvps2"/>
              <w:shd w:val="clear" w:color="auto" w:fill="FFFFFF"/>
              <w:spacing w:line="276" w:lineRule="auto"/>
              <w:jc w:val="center"/>
              <w:textAlignment w:val="baseline"/>
              <w:rPr>
                <w:b/>
                <w:lang w:val="uk-UA"/>
              </w:rPr>
            </w:pPr>
            <w:r w:rsidRPr="0051575F">
              <w:rPr>
                <w:b/>
                <w:lang w:val="uk-UA"/>
              </w:rPr>
              <w:t>Вигоди</w:t>
            </w:r>
          </w:p>
        </w:tc>
        <w:tc>
          <w:tcPr>
            <w:tcW w:w="3231" w:type="dxa"/>
            <w:shd w:val="clear" w:color="auto" w:fill="auto"/>
          </w:tcPr>
          <w:p w14:paraId="034D772D" w14:textId="77777777" w:rsidR="00873F44" w:rsidRPr="0051575F" w:rsidRDefault="00873F44" w:rsidP="00F22CF6">
            <w:pPr>
              <w:pStyle w:val="rvps2"/>
              <w:shd w:val="clear" w:color="auto" w:fill="FFFFFF"/>
              <w:spacing w:line="276" w:lineRule="auto"/>
              <w:jc w:val="center"/>
              <w:textAlignment w:val="baseline"/>
              <w:rPr>
                <w:b/>
                <w:lang w:val="uk-UA"/>
              </w:rPr>
            </w:pPr>
            <w:r w:rsidRPr="0051575F">
              <w:rPr>
                <w:b/>
                <w:lang w:val="uk-UA"/>
              </w:rPr>
              <w:t>Витрати</w:t>
            </w:r>
          </w:p>
        </w:tc>
      </w:tr>
      <w:tr w:rsidR="0051575F" w:rsidRPr="00750B42" w14:paraId="0C40C4E6" w14:textId="77777777" w:rsidTr="00F22CF6">
        <w:tc>
          <w:tcPr>
            <w:tcW w:w="2263" w:type="dxa"/>
            <w:shd w:val="clear" w:color="auto" w:fill="auto"/>
          </w:tcPr>
          <w:p w14:paraId="6759592F" w14:textId="39B38FC8" w:rsidR="009B7353" w:rsidRPr="0051575F" w:rsidRDefault="009B7353" w:rsidP="00F22CF6">
            <w:pPr>
              <w:pStyle w:val="rvps2"/>
              <w:shd w:val="clear" w:color="auto" w:fill="FFFFFF"/>
              <w:spacing w:line="276" w:lineRule="auto"/>
              <w:ind w:firstLine="34"/>
              <w:contextualSpacing/>
              <w:textAlignment w:val="baseline"/>
              <w:rPr>
                <w:lang w:val="uk-UA"/>
              </w:rPr>
            </w:pPr>
            <w:r w:rsidRPr="0051575F">
              <w:rPr>
                <w:lang w:val="uk-UA"/>
              </w:rPr>
              <w:t xml:space="preserve">Альтернатива 1: прийняття </w:t>
            </w:r>
            <w:proofErr w:type="spellStart"/>
            <w:r w:rsidR="009C2C13">
              <w:rPr>
                <w:lang w:val="uk-UA"/>
              </w:rPr>
              <w:t>проєкт</w:t>
            </w:r>
            <w:r w:rsidRPr="0051575F">
              <w:rPr>
                <w:lang w:val="uk-UA"/>
              </w:rPr>
              <w:t>у</w:t>
            </w:r>
            <w:proofErr w:type="spellEnd"/>
            <w:r w:rsidRPr="0051575F">
              <w:rPr>
                <w:lang w:val="uk-UA"/>
              </w:rPr>
              <w:t xml:space="preserve"> постанови Кабінету Міністрів України «Про затвердження критеріїв, за якими оцінюється ступінь ризику від провадження господарської діяльності в галузі електроенергетики та сфері теплопостачання і визначається періодичність здійснення</w:t>
            </w:r>
            <w:r w:rsidR="000065EA">
              <w:rPr>
                <w:lang w:val="uk-UA"/>
              </w:rPr>
              <w:t xml:space="preserve"> планових</w:t>
            </w:r>
            <w:r w:rsidRPr="0051575F">
              <w:rPr>
                <w:lang w:val="uk-UA"/>
              </w:rPr>
              <w:t xml:space="preserve"> заходів державного нагляду (контролю) Державною інспекцією енергетичного нагляду та визнання такими, що втратили чинність, деяких </w:t>
            </w:r>
            <w:r w:rsidRPr="0051575F">
              <w:rPr>
                <w:lang w:val="uk-UA"/>
              </w:rPr>
              <w:lastRenderedPageBreak/>
              <w:t>постанов Кабінету Міністрів України»</w:t>
            </w:r>
          </w:p>
        </w:tc>
        <w:tc>
          <w:tcPr>
            <w:tcW w:w="4108" w:type="dxa"/>
            <w:shd w:val="clear" w:color="auto" w:fill="auto"/>
          </w:tcPr>
          <w:p w14:paraId="69BF545C" w14:textId="77777777" w:rsidR="009B7353" w:rsidRPr="0051575F" w:rsidRDefault="009B7353" w:rsidP="00F22CF6">
            <w:pPr>
              <w:spacing w:line="276" w:lineRule="auto"/>
              <w:ind w:firstLine="317"/>
              <w:contextualSpacing/>
              <w:rPr>
                <w:rFonts w:eastAsia="Times New Roman"/>
                <w:lang w:val="uk-UA"/>
              </w:rPr>
            </w:pPr>
            <w:r w:rsidRPr="0051575F">
              <w:rPr>
                <w:rFonts w:eastAsia="Times New Roman"/>
                <w:lang w:val="uk-UA"/>
              </w:rPr>
              <w:lastRenderedPageBreak/>
              <w:t>Є необхідним і достатнім способом вирішення проблемних питань.</w:t>
            </w:r>
          </w:p>
          <w:p w14:paraId="6C144A06" w14:textId="6171A3F4" w:rsidR="009B7353" w:rsidRPr="0051575F" w:rsidRDefault="009B7353" w:rsidP="002909E0">
            <w:pPr>
              <w:spacing w:line="276" w:lineRule="auto"/>
              <w:ind w:firstLine="317"/>
              <w:contextualSpacing/>
              <w:rPr>
                <w:lang w:val="uk-UA"/>
              </w:rPr>
            </w:pPr>
            <w:r w:rsidRPr="0051575F">
              <w:rPr>
                <w:rFonts w:eastAsia="Times New Roman"/>
                <w:lang w:val="uk-UA" w:eastAsia="uk-UA"/>
              </w:rPr>
              <w:t xml:space="preserve">Прийняття </w:t>
            </w:r>
            <w:proofErr w:type="spellStart"/>
            <w:r w:rsidR="009C2C13">
              <w:rPr>
                <w:rFonts w:eastAsia="Times New Roman"/>
                <w:lang w:val="uk-UA" w:eastAsia="uk-UA"/>
              </w:rPr>
              <w:t>проєкт</w:t>
            </w:r>
            <w:r w:rsidRPr="0051575F">
              <w:rPr>
                <w:rFonts w:eastAsia="Times New Roman"/>
                <w:lang w:val="uk-UA" w:eastAsia="uk-UA"/>
              </w:rPr>
              <w:t>у</w:t>
            </w:r>
            <w:proofErr w:type="spellEnd"/>
            <w:r w:rsidRPr="0051575F">
              <w:rPr>
                <w:rFonts w:eastAsia="Times New Roman"/>
                <w:lang w:val="uk-UA" w:eastAsia="uk-UA"/>
              </w:rPr>
              <w:t xml:space="preserve"> </w:t>
            </w:r>
            <w:proofErr w:type="spellStart"/>
            <w:r w:rsidRPr="0051575F">
              <w:rPr>
                <w:rFonts w:eastAsia="Times New Roman"/>
                <w:lang w:val="uk-UA" w:eastAsia="uk-UA"/>
              </w:rPr>
              <w:t>акта</w:t>
            </w:r>
            <w:proofErr w:type="spellEnd"/>
            <w:r w:rsidRPr="0051575F">
              <w:rPr>
                <w:rFonts w:eastAsia="Times New Roman"/>
                <w:lang w:val="uk-UA" w:eastAsia="uk-UA"/>
              </w:rPr>
              <w:t xml:space="preserve"> забезпечить удосконалення державного нагляду (контролю) за додержанням учасниками ринку законодавства в галузі електроенергетики та сфері теплопостачання; забезпечить можливість надання громадянам електричної та теплової енергії належної якості, гарантуватиме підвищення безпеки отримання послуг, та убезпечить від можливих загрози життю і здоров’ю, псування майна, і як наслідок, від імовірних моральних та матеріальних збитків</w:t>
            </w:r>
          </w:p>
        </w:tc>
        <w:tc>
          <w:tcPr>
            <w:tcW w:w="3231" w:type="dxa"/>
            <w:shd w:val="clear" w:color="auto" w:fill="auto"/>
          </w:tcPr>
          <w:p w14:paraId="6168CB01" w14:textId="570295FC" w:rsidR="009B7353" w:rsidRPr="0051575F" w:rsidRDefault="009B7353" w:rsidP="00723615">
            <w:pPr>
              <w:spacing w:line="276" w:lineRule="auto"/>
              <w:ind w:firstLine="381"/>
              <w:rPr>
                <w:rFonts w:eastAsia="Times New Roman"/>
                <w:lang w:val="uk-UA"/>
              </w:rPr>
            </w:pPr>
            <w:r w:rsidRPr="0051575F">
              <w:rPr>
                <w:rFonts w:eastAsia="Times New Roman"/>
                <w:lang w:val="uk-UA"/>
              </w:rPr>
              <w:t xml:space="preserve">Додаткові витрати громадян у зв’язку із запровадженням запропонованої редакції </w:t>
            </w:r>
            <w:proofErr w:type="spellStart"/>
            <w:r w:rsidR="009C2C13">
              <w:rPr>
                <w:rFonts w:eastAsia="Times New Roman"/>
                <w:lang w:val="uk-UA"/>
              </w:rPr>
              <w:t>проєкт</w:t>
            </w:r>
            <w:r w:rsidRPr="0051575F">
              <w:rPr>
                <w:rFonts w:eastAsia="Times New Roman"/>
                <w:lang w:val="uk-UA"/>
              </w:rPr>
              <w:t>у</w:t>
            </w:r>
            <w:proofErr w:type="spellEnd"/>
            <w:r w:rsidRPr="0051575F">
              <w:rPr>
                <w:rFonts w:eastAsia="Times New Roman"/>
                <w:lang w:val="uk-UA"/>
              </w:rPr>
              <w:t xml:space="preserve"> </w:t>
            </w:r>
            <w:proofErr w:type="spellStart"/>
            <w:r w:rsidRPr="0051575F">
              <w:rPr>
                <w:rFonts w:eastAsia="Times New Roman"/>
                <w:lang w:val="uk-UA"/>
              </w:rPr>
              <w:t>акта</w:t>
            </w:r>
            <w:proofErr w:type="spellEnd"/>
            <w:r w:rsidRPr="0051575F">
              <w:rPr>
                <w:rFonts w:eastAsia="Times New Roman"/>
                <w:lang w:val="uk-UA"/>
              </w:rPr>
              <w:t xml:space="preserve"> не виникають </w:t>
            </w:r>
          </w:p>
        </w:tc>
      </w:tr>
      <w:tr w:rsidR="00750B42" w:rsidRPr="00750B42" w14:paraId="49AD0010" w14:textId="77777777" w:rsidTr="00F22CF6">
        <w:tc>
          <w:tcPr>
            <w:tcW w:w="2263" w:type="dxa"/>
            <w:shd w:val="clear" w:color="auto" w:fill="auto"/>
          </w:tcPr>
          <w:p w14:paraId="2BCE75BC" w14:textId="77777777" w:rsidR="00873F44" w:rsidRPr="00750B42" w:rsidRDefault="00873F44" w:rsidP="00F22CF6">
            <w:pPr>
              <w:pStyle w:val="rvps2"/>
              <w:shd w:val="clear" w:color="auto" w:fill="FFFFFF"/>
              <w:spacing w:line="276" w:lineRule="auto"/>
              <w:ind w:firstLine="34"/>
              <w:jc w:val="both"/>
              <w:textAlignment w:val="baseline"/>
              <w:rPr>
                <w:lang w:val="uk-UA"/>
              </w:rPr>
            </w:pPr>
            <w:r w:rsidRPr="00750B42">
              <w:rPr>
                <w:lang w:val="uk-UA"/>
              </w:rPr>
              <w:t xml:space="preserve">Альтернатива 2: Залишення існуючої на даний момент ситуації без змін </w:t>
            </w:r>
          </w:p>
        </w:tc>
        <w:tc>
          <w:tcPr>
            <w:tcW w:w="4108" w:type="dxa"/>
            <w:shd w:val="clear" w:color="auto" w:fill="auto"/>
          </w:tcPr>
          <w:p w14:paraId="2A878065" w14:textId="77777777" w:rsidR="00873F44" w:rsidRPr="00750B42" w:rsidRDefault="00873F44" w:rsidP="00F22CF6">
            <w:pPr>
              <w:pStyle w:val="a5"/>
              <w:spacing w:line="276" w:lineRule="auto"/>
              <w:ind w:firstLine="0"/>
              <w:jc w:val="left"/>
              <w:rPr>
                <w:sz w:val="24"/>
                <w:szCs w:val="24"/>
              </w:rPr>
            </w:pPr>
            <w:r w:rsidRPr="00750B42">
              <w:rPr>
                <w:sz w:val="24"/>
                <w:szCs w:val="24"/>
              </w:rPr>
              <w:t>Вигоди відсутні, оскільки проблема залишиться не вирішеною.</w:t>
            </w:r>
          </w:p>
          <w:p w14:paraId="2B556707" w14:textId="77777777" w:rsidR="00873F44" w:rsidRPr="00750B42" w:rsidRDefault="00873F44" w:rsidP="00772EFD">
            <w:pPr>
              <w:pStyle w:val="a5"/>
              <w:spacing w:line="276" w:lineRule="auto"/>
              <w:ind w:firstLine="0"/>
              <w:jc w:val="left"/>
            </w:pPr>
          </w:p>
        </w:tc>
        <w:tc>
          <w:tcPr>
            <w:tcW w:w="3231" w:type="dxa"/>
            <w:shd w:val="clear" w:color="auto" w:fill="auto"/>
          </w:tcPr>
          <w:p w14:paraId="065E4433" w14:textId="77777777" w:rsidR="00723615" w:rsidRPr="00750B42" w:rsidRDefault="00563BB1" w:rsidP="005019DE">
            <w:pPr>
              <w:spacing w:line="276" w:lineRule="auto"/>
              <w:rPr>
                <w:rFonts w:eastAsia="Times New Roman"/>
                <w:lang w:val="uk-UA"/>
              </w:rPr>
            </w:pPr>
            <w:r w:rsidRPr="00750B42">
              <w:rPr>
                <w:lang w:val="uk-UA" w:eastAsia="uk-UA"/>
              </w:rPr>
              <w:t xml:space="preserve">Громадяни позбавлені можливості отримання електричної енергії належної якості та, як наслідок, не убезпечені від можливих збитків та загрози життю і здоров’ю. </w:t>
            </w:r>
            <w:r w:rsidR="00425177" w:rsidRPr="00750B42">
              <w:rPr>
                <w:rFonts w:eastAsia="Times New Roman"/>
                <w:lang w:val="uk-UA"/>
              </w:rPr>
              <w:t>Можливі додаткові витрати громадян внаслідок здобуття збитків.</w:t>
            </w:r>
          </w:p>
          <w:p w14:paraId="696B0508" w14:textId="77777777" w:rsidR="00873F44" w:rsidRPr="00750B42" w:rsidRDefault="00873F44" w:rsidP="00563BB1">
            <w:pPr>
              <w:spacing w:line="276" w:lineRule="auto"/>
              <w:rPr>
                <w:lang w:val="uk-UA"/>
              </w:rPr>
            </w:pPr>
            <w:r w:rsidRPr="00750B42">
              <w:rPr>
                <w:rFonts w:eastAsia="Times New Roman"/>
                <w:lang w:val="uk-UA"/>
              </w:rPr>
              <w:t xml:space="preserve">Альтернатива є неприйнятною, оскільки не забезпечує досягнення  поставленої мети. </w:t>
            </w:r>
          </w:p>
        </w:tc>
      </w:tr>
    </w:tbl>
    <w:p w14:paraId="0CE83ED5" w14:textId="77777777" w:rsidR="00873F44" w:rsidRPr="00750B42" w:rsidRDefault="00873F44" w:rsidP="001D6F9F">
      <w:pPr>
        <w:tabs>
          <w:tab w:val="left" w:pos="720"/>
        </w:tabs>
        <w:spacing w:after="60" w:line="276" w:lineRule="auto"/>
        <w:ind w:firstLine="720"/>
        <w:contextualSpacing/>
        <w:jc w:val="both"/>
        <w:rPr>
          <w:sz w:val="28"/>
          <w:szCs w:val="28"/>
          <w:lang w:val="uk-UA"/>
        </w:rPr>
      </w:pPr>
    </w:p>
    <w:p w14:paraId="44BF1CC3" w14:textId="77777777" w:rsidR="00873F44" w:rsidRPr="00750B42" w:rsidRDefault="00873F44" w:rsidP="001D6F9F">
      <w:pPr>
        <w:tabs>
          <w:tab w:val="left" w:pos="720"/>
        </w:tabs>
        <w:spacing w:after="60" w:line="276" w:lineRule="auto"/>
        <w:ind w:firstLine="720"/>
        <w:contextualSpacing/>
        <w:jc w:val="both"/>
        <w:rPr>
          <w:sz w:val="28"/>
          <w:szCs w:val="28"/>
          <w:lang w:val="uk-UA"/>
        </w:rPr>
      </w:pPr>
    </w:p>
    <w:p w14:paraId="72BF4532" w14:textId="77777777" w:rsidR="00223E72" w:rsidRPr="00750B42" w:rsidRDefault="00223E72" w:rsidP="001D6F9F">
      <w:pPr>
        <w:tabs>
          <w:tab w:val="left" w:pos="720"/>
        </w:tabs>
        <w:spacing w:after="60" w:line="276" w:lineRule="auto"/>
        <w:ind w:firstLine="720"/>
        <w:contextualSpacing/>
        <w:jc w:val="both"/>
        <w:rPr>
          <w:sz w:val="28"/>
          <w:szCs w:val="28"/>
          <w:lang w:val="uk-UA"/>
        </w:rPr>
      </w:pPr>
      <w:r w:rsidRPr="00750B42">
        <w:rPr>
          <w:sz w:val="28"/>
          <w:szCs w:val="28"/>
          <w:lang w:val="uk-UA"/>
        </w:rPr>
        <w:t>Оцінка впливу на сферу інтересів суб’єктів господарювання</w:t>
      </w:r>
    </w:p>
    <w:tbl>
      <w:tblPr>
        <w:tblStyle w:val="af"/>
        <w:tblW w:w="9776" w:type="dxa"/>
        <w:tblLook w:val="04A0" w:firstRow="1" w:lastRow="0" w:firstColumn="1" w:lastColumn="0" w:noHBand="0" w:noVBand="1"/>
      </w:tblPr>
      <w:tblGrid>
        <w:gridCol w:w="2405"/>
        <w:gridCol w:w="1134"/>
        <w:gridCol w:w="1134"/>
        <w:gridCol w:w="2268"/>
        <w:gridCol w:w="1418"/>
        <w:gridCol w:w="1417"/>
      </w:tblGrid>
      <w:tr w:rsidR="00750B42" w:rsidRPr="00750B42" w14:paraId="35FB54BC" w14:textId="77777777" w:rsidTr="00062577">
        <w:trPr>
          <w:trHeight w:val="1388"/>
        </w:trPr>
        <w:tc>
          <w:tcPr>
            <w:tcW w:w="2405" w:type="dxa"/>
          </w:tcPr>
          <w:p w14:paraId="2ECE7FA2" w14:textId="77777777" w:rsidR="00496655" w:rsidRPr="00750B42" w:rsidRDefault="00496655" w:rsidP="001D6F9F">
            <w:pPr>
              <w:tabs>
                <w:tab w:val="left" w:pos="720"/>
              </w:tabs>
              <w:spacing w:after="60" w:line="276" w:lineRule="auto"/>
              <w:contextualSpacing/>
              <w:jc w:val="center"/>
              <w:rPr>
                <w:lang w:val="uk-UA"/>
              </w:rPr>
            </w:pPr>
            <w:r w:rsidRPr="00750B42">
              <w:rPr>
                <w:lang w:val="uk-UA"/>
              </w:rPr>
              <w:t>Показник</w:t>
            </w:r>
          </w:p>
        </w:tc>
        <w:tc>
          <w:tcPr>
            <w:tcW w:w="1134" w:type="dxa"/>
          </w:tcPr>
          <w:p w14:paraId="4303360E" w14:textId="77777777" w:rsidR="00496655" w:rsidRPr="00750B42" w:rsidRDefault="00496655" w:rsidP="001D6F9F">
            <w:pPr>
              <w:tabs>
                <w:tab w:val="left" w:pos="720"/>
              </w:tabs>
              <w:spacing w:after="60" w:line="276" w:lineRule="auto"/>
              <w:contextualSpacing/>
              <w:jc w:val="center"/>
              <w:rPr>
                <w:lang w:val="uk-UA"/>
              </w:rPr>
            </w:pPr>
            <w:r w:rsidRPr="00750B42">
              <w:rPr>
                <w:lang w:val="uk-UA"/>
              </w:rPr>
              <w:t>Великі</w:t>
            </w:r>
          </w:p>
        </w:tc>
        <w:tc>
          <w:tcPr>
            <w:tcW w:w="1134" w:type="dxa"/>
          </w:tcPr>
          <w:p w14:paraId="6D3D8682" w14:textId="77777777" w:rsidR="00496655" w:rsidRPr="00750B42" w:rsidRDefault="00496655" w:rsidP="001D6F9F">
            <w:pPr>
              <w:tabs>
                <w:tab w:val="left" w:pos="720"/>
              </w:tabs>
              <w:spacing w:after="60" w:line="276" w:lineRule="auto"/>
              <w:contextualSpacing/>
              <w:jc w:val="center"/>
              <w:rPr>
                <w:lang w:val="uk-UA"/>
              </w:rPr>
            </w:pPr>
            <w:r w:rsidRPr="00750B42">
              <w:rPr>
                <w:lang w:val="uk-UA"/>
              </w:rPr>
              <w:t>Середні</w:t>
            </w:r>
          </w:p>
        </w:tc>
        <w:tc>
          <w:tcPr>
            <w:tcW w:w="2268" w:type="dxa"/>
          </w:tcPr>
          <w:p w14:paraId="6C5E17BE" w14:textId="77777777" w:rsidR="00496655" w:rsidRPr="00750B42" w:rsidRDefault="00496655" w:rsidP="001D6F9F">
            <w:pPr>
              <w:tabs>
                <w:tab w:val="left" w:pos="720"/>
              </w:tabs>
              <w:spacing w:after="60" w:line="276" w:lineRule="auto"/>
              <w:contextualSpacing/>
              <w:jc w:val="center"/>
              <w:rPr>
                <w:lang w:val="uk-UA"/>
              </w:rPr>
            </w:pPr>
            <w:r w:rsidRPr="00750B42">
              <w:rPr>
                <w:lang w:val="uk-UA"/>
              </w:rPr>
              <w:t xml:space="preserve">Малі, у </w:t>
            </w:r>
            <w:proofErr w:type="spellStart"/>
            <w:r w:rsidRPr="00750B42">
              <w:rPr>
                <w:lang w:val="uk-UA"/>
              </w:rPr>
              <w:t>т.ч</w:t>
            </w:r>
            <w:proofErr w:type="spellEnd"/>
            <w:r w:rsidRPr="00750B42">
              <w:rPr>
                <w:lang w:val="uk-UA"/>
              </w:rPr>
              <w:t>. СГД-фізичні особи</w:t>
            </w:r>
          </w:p>
        </w:tc>
        <w:tc>
          <w:tcPr>
            <w:tcW w:w="1418" w:type="dxa"/>
          </w:tcPr>
          <w:p w14:paraId="70C1D13A" w14:textId="77777777" w:rsidR="00496655" w:rsidRPr="00750B42" w:rsidRDefault="00496655" w:rsidP="001D6F9F">
            <w:pPr>
              <w:tabs>
                <w:tab w:val="left" w:pos="720"/>
              </w:tabs>
              <w:spacing w:after="60" w:line="276" w:lineRule="auto"/>
              <w:contextualSpacing/>
              <w:jc w:val="center"/>
              <w:rPr>
                <w:lang w:val="uk-UA"/>
              </w:rPr>
            </w:pPr>
            <w:r w:rsidRPr="00750B42">
              <w:rPr>
                <w:lang w:val="uk-UA"/>
              </w:rPr>
              <w:t>Мікро</w:t>
            </w:r>
            <w:r w:rsidR="00175D86" w:rsidRPr="00750B42">
              <w:rPr>
                <w:lang w:val="uk-UA"/>
              </w:rPr>
              <w:t xml:space="preserve">, у </w:t>
            </w:r>
            <w:proofErr w:type="spellStart"/>
            <w:r w:rsidR="00175D86" w:rsidRPr="00750B42">
              <w:rPr>
                <w:lang w:val="uk-UA"/>
              </w:rPr>
              <w:t>т.ч</w:t>
            </w:r>
            <w:proofErr w:type="spellEnd"/>
            <w:r w:rsidR="00175D86" w:rsidRPr="00750B42">
              <w:rPr>
                <w:lang w:val="uk-UA"/>
              </w:rPr>
              <w:t>. СГД-фізичні особи</w:t>
            </w:r>
          </w:p>
        </w:tc>
        <w:tc>
          <w:tcPr>
            <w:tcW w:w="1417" w:type="dxa"/>
          </w:tcPr>
          <w:p w14:paraId="56848BFD" w14:textId="77777777" w:rsidR="00496655" w:rsidRPr="00750B42" w:rsidRDefault="00496655" w:rsidP="001D6F9F">
            <w:pPr>
              <w:tabs>
                <w:tab w:val="left" w:pos="720"/>
              </w:tabs>
              <w:spacing w:after="60" w:line="276" w:lineRule="auto"/>
              <w:contextualSpacing/>
              <w:jc w:val="center"/>
              <w:rPr>
                <w:lang w:val="uk-UA"/>
              </w:rPr>
            </w:pPr>
            <w:r w:rsidRPr="00750B42">
              <w:rPr>
                <w:lang w:val="uk-UA"/>
              </w:rPr>
              <w:t>Разом</w:t>
            </w:r>
          </w:p>
        </w:tc>
      </w:tr>
      <w:tr w:rsidR="00750B42" w:rsidRPr="00750B42" w14:paraId="1FE6A120" w14:textId="77777777" w:rsidTr="00496655">
        <w:tc>
          <w:tcPr>
            <w:tcW w:w="2405" w:type="dxa"/>
            <w:tcBorders>
              <w:top w:val="single" w:sz="4" w:space="0" w:color="auto"/>
              <w:left w:val="single" w:sz="4" w:space="0" w:color="auto"/>
              <w:bottom w:val="single" w:sz="4" w:space="0" w:color="auto"/>
              <w:right w:val="single" w:sz="4" w:space="0" w:color="auto"/>
            </w:tcBorders>
          </w:tcPr>
          <w:p w14:paraId="05EE7263" w14:textId="77777777" w:rsidR="00496655" w:rsidRPr="00750B42" w:rsidRDefault="00496655" w:rsidP="00DF5B09">
            <w:pPr>
              <w:spacing w:line="276" w:lineRule="auto"/>
              <w:jc w:val="both"/>
              <w:textAlignment w:val="baseline"/>
              <w:rPr>
                <w:rFonts w:eastAsia="Times New Roman"/>
                <w:lang w:val="uk-UA"/>
              </w:rPr>
            </w:pPr>
            <w:r w:rsidRPr="00750B42">
              <w:rPr>
                <w:rFonts w:eastAsia="Times New Roman"/>
                <w:lang w:val="uk-UA"/>
              </w:rPr>
              <w:t>Кількість суб’єктів господарювання, що підпадають під дію регулювання, одиниць</w:t>
            </w:r>
            <w:r w:rsidR="00DF5B09" w:rsidRPr="00750B42">
              <w:rPr>
                <w:rFonts w:eastAsia="Times New Roman"/>
                <w:lang w:val="uk-UA"/>
              </w:rPr>
              <w:t xml:space="preserve"> * </w:t>
            </w:r>
          </w:p>
        </w:tc>
        <w:tc>
          <w:tcPr>
            <w:tcW w:w="1134" w:type="dxa"/>
          </w:tcPr>
          <w:p w14:paraId="27A6FB63" w14:textId="77777777" w:rsidR="009A0FC7" w:rsidRPr="00750B42" w:rsidRDefault="009A0FC7" w:rsidP="00F94B24">
            <w:pPr>
              <w:tabs>
                <w:tab w:val="left" w:pos="720"/>
              </w:tabs>
              <w:spacing w:after="60" w:line="276" w:lineRule="auto"/>
              <w:contextualSpacing/>
              <w:jc w:val="center"/>
              <w:rPr>
                <w:lang w:val="uk-UA"/>
              </w:rPr>
            </w:pPr>
          </w:p>
          <w:p w14:paraId="4C06BA03" w14:textId="77777777" w:rsidR="00496655" w:rsidRPr="00750B42" w:rsidRDefault="00F94B24" w:rsidP="00F94B24">
            <w:pPr>
              <w:tabs>
                <w:tab w:val="left" w:pos="720"/>
              </w:tabs>
              <w:spacing w:after="60" w:line="276" w:lineRule="auto"/>
              <w:contextualSpacing/>
              <w:jc w:val="center"/>
              <w:rPr>
                <w:lang w:val="uk-UA"/>
              </w:rPr>
            </w:pPr>
            <w:r w:rsidRPr="00750B42">
              <w:rPr>
                <w:lang w:val="uk-UA"/>
              </w:rPr>
              <w:t>302</w:t>
            </w:r>
          </w:p>
          <w:p w14:paraId="391AF602" w14:textId="77777777" w:rsidR="00F94B24" w:rsidRPr="00750B42" w:rsidRDefault="00F94B24" w:rsidP="00F94B24">
            <w:pPr>
              <w:tabs>
                <w:tab w:val="left" w:pos="720"/>
              </w:tabs>
              <w:spacing w:after="60" w:line="276" w:lineRule="auto"/>
              <w:contextualSpacing/>
              <w:jc w:val="center"/>
              <w:rPr>
                <w:lang w:val="uk-UA"/>
              </w:rPr>
            </w:pPr>
            <w:r w:rsidRPr="00750B42">
              <w:rPr>
                <w:lang w:val="uk-UA"/>
              </w:rPr>
              <w:t>672</w:t>
            </w:r>
          </w:p>
          <w:p w14:paraId="5A5C7A4D" w14:textId="77777777" w:rsidR="00F94B24" w:rsidRPr="00750B42" w:rsidRDefault="00F94B24" w:rsidP="00DF5B09">
            <w:pPr>
              <w:tabs>
                <w:tab w:val="left" w:pos="720"/>
              </w:tabs>
              <w:spacing w:after="60" w:line="276" w:lineRule="auto"/>
              <w:contextualSpacing/>
              <w:jc w:val="center"/>
              <w:rPr>
                <w:b/>
                <w:lang w:val="uk-UA"/>
              </w:rPr>
            </w:pPr>
            <w:r w:rsidRPr="00750B42">
              <w:rPr>
                <w:b/>
                <w:lang w:val="uk-UA"/>
              </w:rPr>
              <w:t>974</w:t>
            </w:r>
          </w:p>
        </w:tc>
        <w:tc>
          <w:tcPr>
            <w:tcW w:w="1134" w:type="dxa"/>
          </w:tcPr>
          <w:p w14:paraId="28CCB211" w14:textId="77777777" w:rsidR="009A0FC7" w:rsidRPr="00750B42" w:rsidRDefault="009A0FC7" w:rsidP="00F94B24">
            <w:pPr>
              <w:tabs>
                <w:tab w:val="left" w:pos="720"/>
              </w:tabs>
              <w:spacing w:after="60" w:line="276" w:lineRule="auto"/>
              <w:contextualSpacing/>
              <w:jc w:val="center"/>
              <w:rPr>
                <w:lang w:val="uk-UA"/>
              </w:rPr>
            </w:pPr>
          </w:p>
          <w:p w14:paraId="4FD804B3" w14:textId="77777777" w:rsidR="00496655" w:rsidRPr="00750B42" w:rsidRDefault="00F94B24" w:rsidP="00F94B24">
            <w:pPr>
              <w:tabs>
                <w:tab w:val="left" w:pos="720"/>
              </w:tabs>
              <w:spacing w:after="60" w:line="276" w:lineRule="auto"/>
              <w:contextualSpacing/>
              <w:jc w:val="center"/>
              <w:rPr>
                <w:lang w:val="uk-UA"/>
              </w:rPr>
            </w:pPr>
            <w:r w:rsidRPr="00750B42">
              <w:rPr>
                <w:lang w:val="uk-UA"/>
              </w:rPr>
              <w:t>4115</w:t>
            </w:r>
          </w:p>
          <w:p w14:paraId="2D392EA8" w14:textId="77777777" w:rsidR="00F94B24" w:rsidRPr="00750B42" w:rsidRDefault="004314A0" w:rsidP="00F94B24">
            <w:pPr>
              <w:tabs>
                <w:tab w:val="left" w:pos="720"/>
              </w:tabs>
              <w:spacing w:after="60" w:line="276" w:lineRule="auto"/>
              <w:contextualSpacing/>
              <w:jc w:val="center"/>
              <w:rPr>
                <w:lang w:val="uk-UA"/>
              </w:rPr>
            </w:pPr>
            <w:r w:rsidRPr="00750B42">
              <w:rPr>
                <w:lang w:val="uk-UA"/>
              </w:rPr>
              <w:t>70011</w:t>
            </w:r>
          </w:p>
          <w:p w14:paraId="05BF9E87" w14:textId="77777777" w:rsidR="00F94B24" w:rsidRPr="00750B42" w:rsidRDefault="004314A0" w:rsidP="00F94B24">
            <w:pPr>
              <w:tabs>
                <w:tab w:val="left" w:pos="720"/>
              </w:tabs>
              <w:spacing w:after="60" w:line="276" w:lineRule="auto"/>
              <w:contextualSpacing/>
              <w:jc w:val="center"/>
              <w:rPr>
                <w:b/>
                <w:lang w:val="uk-UA"/>
              </w:rPr>
            </w:pPr>
            <w:r w:rsidRPr="00750B42">
              <w:rPr>
                <w:b/>
                <w:lang w:val="uk-UA"/>
              </w:rPr>
              <w:t>74216</w:t>
            </w:r>
          </w:p>
          <w:p w14:paraId="23315D10" w14:textId="77777777" w:rsidR="00F94B24" w:rsidRPr="00750B42" w:rsidRDefault="00F94B24" w:rsidP="00F94B24">
            <w:pPr>
              <w:tabs>
                <w:tab w:val="left" w:pos="720"/>
              </w:tabs>
              <w:spacing w:after="60" w:line="276" w:lineRule="auto"/>
              <w:contextualSpacing/>
              <w:jc w:val="center"/>
              <w:rPr>
                <w:lang w:val="uk-UA"/>
              </w:rPr>
            </w:pPr>
          </w:p>
        </w:tc>
        <w:tc>
          <w:tcPr>
            <w:tcW w:w="2268" w:type="dxa"/>
          </w:tcPr>
          <w:p w14:paraId="37CBF53F" w14:textId="77777777" w:rsidR="009A0FC7" w:rsidRPr="00750B42" w:rsidRDefault="009A0FC7" w:rsidP="00F94B24">
            <w:pPr>
              <w:tabs>
                <w:tab w:val="left" w:pos="720"/>
              </w:tabs>
              <w:spacing w:after="60" w:line="276" w:lineRule="auto"/>
              <w:contextualSpacing/>
              <w:jc w:val="center"/>
              <w:rPr>
                <w:lang w:val="uk-UA"/>
              </w:rPr>
            </w:pPr>
          </w:p>
          <w:p w14:paraId="268C41D6" w14:textId="77777777" w:rsidR="00496655" w:rsidRPr="00750B42" w:rsidRDefault="00F94B24" w:rsidP="00F94B24">
            <w:pPr>
              <w:tabs>
                <w:tab w:val="left" w:pos="720"/>
              </w:tabs>
              <w:spacing w:after="60" w:line="276" w:lineRule="auto"/>
              <w:contextualSpacing/>
              <w:jc w:val="center"/>
              <w:rPr>
                <w:lang w:val="uk-UA"/>
              </w:rPr>
            </w:pPr>
            <w:r w:rsidRPr="00750B42">
              <w:rPr>
                <w:lang w:val="uk-UA"/>
              </w:rPr>
              <w:t>0</w:t>
            </w:r>
          </w:p>
          <w:p w14:paraId="6DC68150" w14:textId="77777777" w:rsidR="00F94B24" w:rsidRPr="00750B42" w:rsidRDefault="004314A0" w:rsidP="00F94B24">
            <w:pPr>
              <w:tabs>
                <w:tab w:val="left" w:pos="720"/>
              </w:tabs>
              <w:spacing w:after="60" w:line="276" w:lineRule="auto"/>
              <w:contextualSpacing/>
              <w:jc w:val="center"/>
              <w:rPr>
                <w:b/>
                <w:lang w:val="uk-UA"/>
              </w:rPr>
            </w:pPr>
            <w:r w:rsidRPr="00750B42">
              <w:rPr>
                <w:lang w:val="uk-UA"/>
              </w:rPr>
              <w:t>0</w:t>
            </w:r>
          </w:p>
          <w:p w14:paraId="735BBA58" w14:textId="77777777" w:rsidR="00F94B24" w:rsidRPr="00750B42" w:rsidRDefault="004314A0" w:rsidP="00F94B24">
            <w:pPr>
              <w:tabs>
                <w:tab w:val="left" w:pos="720"/>
              </w:tabs>
              <w:spacing w:after="60" w:line="276" w:lineRule="auto"/>
              <w:contextualSpacing/>
              <w:jc w:val="center"/>
              <w:rPr>
                <w:b/>
                <w:lang w:val="uk-UA"/>
              </w:rPr>
            </w:pPr>
            <w:r w:rsidRPr="00750B42">
              <w:rPr>
                <w:b/>
                <w:lang w:val="uk-UA"/>
              </w:rPr>
              <w:t>0</w:t>
            </w:r>
          </w:p>
        </w:tc>
        <w:tc>
          <w:tcPr>
            <w:tcW w:w="1418" w:type="dxa"/>
          </w:tcPr>
          <w:p w14:paraId="2108AB8C" w14:textId="77777777" w:rsidR="009A0FC7" w:rsidRPr="00750B42" w:rsidRDefault="009A0FC7" w:rsidP="00F94B24">
            <w:pPr>
              <w:tabs>
                <w:tab w:val="left" w:pos="720"/>
              </w:tabs>
              <w:spacing w:after="60" w:line="276" w:lineRule="auto"/>
              <w:contextualSpacing/>
              <w:jc w:val="center"/>
              <w:rPr>
                <w:lang w:val="uk-UA"/>
              </w:rPr>
            </w:pPr>
          </w:p>
          <w:p w14:paraId="64A9CAC9" w14:textId="77777777" w:rsidR="00496655" w:rsidRPr="00750B42" w:rsidRDefault="00F94B24" w:rsidP="00F94B24">
            <w:pPr>
              <w:tabs>
                <w:tab w:val="left" w:pos="720"/>
              </w:tabs>
              <w:spacing w:after="60" w:line="276" w:lineRule="auto"/>
              <w:contextualSpacing/>
              <w:jc w:val="center"/>
              <w:rPr>
                <w:lang w:val="uk-UA"/>
              </w:rPr>
            </w:pPr>
            <w:r w:rsidRPr="00750B42">
              <w:rPr>
                <w:lang w:val="uk-UA"/>
              </w:rPr>
              <w:t>0</w:t>
            </w:r>
          </w:p>
          <w:p w14:paraId="60D5724F" w14:textId="77777777" w:rsidR="002955C9" w:rsidRPr="00750B42" w:rsidRDefault="004314A0" w:rsidP="002955C9">
            <w:pPr>
              <w:tabs>
                <w:tab w:val="left" w:pos="720"/>
              </w:tabs>
              <w:spacing w:after="60" w:line="276" w:lineRule="auto"/>
              <w:contextualSpacing/>
              <w:jc w:val="center"/>
              <w:rPr>
                <w:b/>
                <w:lang w:val="uk-UA"/>
              </w:rPr>
            </w:pPr>
            <w:r w:rsidRPr="00750B42">
              <w:rPr>
                <w:lang w:val="uk-UA"/>
              </w:rPr>
              <w:t>0</w:t>
            </w:r>
          </w:p>
          <w:p w14:paraId="778F331D" w14:textId="77777777" w:rsidR="002955C9" w:rsidRPr="00750B42" w:rsidRDefault="004314A0" w:rsidP="00F94B24">
            <w:pPr>
              <w:tabs>
                <w:tab w:val="left" w:pos="720"/>
              </w:tabs>
              <w:spacing w:after="60" w:line="276" w:lineRule="auto"/>
              <w:contextualSpacing/>
              <w:jc w:val="center"/>
              <w:rPr>
                <w:b/>
                <w:lang w:val="uk-UA"/>
              </w:rPr>
            </w:pPr>
            <w:r w:rsidRPr="00750B42">
              <w:rPr>
                <w:b/>
                <w:lang w:val="uk-UA"/>
              </w:rPr>
              <w:t>0</w:t>
            </w:r>
          </w:p>
          <w:p w14:paraId="4BA8C763" w14:textId="77777777" w:rsidR="00F94B24" w:rsidRPr="00750B42" w:rsidRDefault="00F94B24" w:rsidP="00F94B24">
            <w:pPr>
              <w:tabs>
                <w:tab w:val="left" w:pos="720"/>
              </w:tabs>
              <w:spacing w:after="60" w:line="276" w:lineRule="auto"/>
              <w:contextualSpacing/>
              <w:jc w:val="center"/>
              <w:rPr>
                <w:lang w:val="uk-UA"/>
              </w:rPr>
            </w:pPr>
          </w:p>
        </w:tc>
        <w:tc>
          <w:tcPr>
            <w:tcW w:w="1417" w:type="dxa"/>
          </w:tcPr>
          <w:p w14:paraId="24F5F184" w14:textId="77777777" w:rsidR="009A0FC7" w:rsidRPr="00750B42" w:rsidRDefault="009A0FC7" w:rsidP="00F94B24">
            <w:pPr>
              <w:tabs>
                <w:tab w:val="left" w:pos="720"/>
              </w:tabs>
              <w:spacing w:after="60" w:line="276" w:lineRule="auto"/>
              <w:contextualSpacing/>
              <w:jc w:val="center"/>
              <w:rPr>
                <w:lang w:val="uk-UA"/>
              </w:rPr>
            </w:pPr>
          </w:p>
          <w:p w14:paraId="0A3F128C" w14:textId="77777777" w:rsidR="00D41370" w:rsidRPr="00750B42" w:rsidRDefault="00D41370" w:rsidP="00F94B24">
            <w:pPr>
              <w:tabs>
                <w:tab w:val="left" w:pos="720"/>
              </w:tabs>
              <w:spacing w:after="60" w:line="276" w:lineRule="auto"/>
              <w:contextualSpacing/>
              <w:jc w:val="center"/>
              <w:rPr>
                <w:lang w:val="uk-UA"/>
              </w:rPr>
            </w:pPr>
            <w:r w:rsidRPr="00750B42">
              <w:rPr>
                <w:lang w:val="uk-UA"/>
              </w:rPr>
              <w:t>4417</w:t>
            </w:r>
          </w:p>
          <w:p w14:paraId="30B7442D" w14:textId="77777777" w:rsidR="00D41370" w:rsidRPr="00750B42" w:rsidRDefault="006A35BF" w:rsidP="00F94B24">
            <w:pPr>
              <w:tabs>
                <w:tab w:val="left" w:pos="720"/>
              </w:tabs>
              <w:spacing w:after="60" w:line="276" w:lineRule="auto"/>
              <w:contextualSpacing/>
              <w:jc w:val="center"/>
              <w:rPr>
                <w:lang w:val="uk-UA"/>
              </w:rPr>
            </w:pPr>
            <w:r w:rsidRPr="00750B42">
              <w:rPr>
                <w:lang w:val="uk-UA"/>
              </w:rPr>
              <w:t>7</w:t>
            </w:r>
            <w:r w:rsidR="00D41370" w:rsidRPr="00750B42">
              <w:rPr>
                <w:lang w:val="uk-UA"/>
              </w:rPr>
              <w:t>0683</w:t>
            </w:r>
          </w:p>
          <w:p w14:paraId="01BF387C" w14:textId="77777777" w:rsidR="00D41370" w:rsidRPr="00750B42" w:rsidRDefault="00D41370" w:rsidP="00F94B24">
            <w:pPr>
              <w:tabs>
                <w:tab w:val="left" w:pos="720"/>
              </w:tabs>
              <w:spacing w:after="60" w:line="276" w:lineRule="auto"/>
              <w:contextualSpacing/>
              <w:jc w:val="center"/>
              <w:rPr>
                <w:b/>
                <w:lang w:val="uk-UA"/>
              </w:rPr>
            </w:pPr>
            <w:r w:rsidRPr="00750B42">
              <w:rPr>
                <w:b/>
                <w:lang w:val="uk-UA"/>
              </w:rPr>
              <w:t>75100</w:t>
            </w:r>
          </w:p>
        </w:tc>
      </w:tr>
      <w:tr w:rsidR="00750B42" w:rsidRPr="00750B42" w14:paraId="0AD0A644" w14:textId="77777777" w:rsidTr="00DF5B09">
        <w:tc>
          <w:tcPr>
            <w:tcW w:w="2405" w:type="dxa"/>
            <w:tcBorders>
              <w:top w:val="single" w:sz="4" w:space="0" w:color="auto"/>
              <w:left w:val="single" w:sz="4" w:space="0" w:color="auto"/>
              <w:bottom w:val="single" w:sz="4" w:space="0" w:color="auto"/>
              <w:right w:val="single" w:sz="4" w:space="0" w:color="auto"/>
            </w:tcBorders>
          </w:tcPr>
          <w:p w14:paraId="6DC00551" w14:textId="77777777" w:rsidR="00496655" w:rsidRPr="00750B42" w:rsidRDefault="00496655" w:rsidP="001D6F9F">
            <w:pPr>
              <w:spacing w:line="276" w:lineRule="auto"/>
              <w:jc w:val="both"/>
              <w:textAlignment w:val="baseline"/>
              <w:rPr>
                <w:rFonts w:eastAsia="Times New Roman"/>
                <w:lang w:val="uk-UA"/>
              </w:rPr>
            </w:pPr>
            <w:r w:rsidRPr="00750B42">
              <w:rPr>
                <w:rFonts w:eastAsia="Times New Roman"/>
                <w:lang w:val="uk-UA"/>
              </w:rPr>
              <w:t>Питома вага групи у загальній кількості, відсотків</w:t>
            </w:r>
          </w:p>
        </w:tc>
        <w:tc>
          <w:tcPr>
            <w:tcW w:w="1134" w:type="dxa"/>
            <w:vAlign w:val="center"/>
          </w:tcPr>
          <w:p w14:paraId="7A98EA36" w14:textId="77777777" w:rsidR="00496655" w:rsidRPr="00750B42" w:rsidRDefault="00D41370" w:rsidP="00DF5B09">
            <w:pPr>
              <w:tabs>
                <w:tab w:val="left" w:pos="720"/>
              </w:tabs>
              <w:spacing w:after="60" w:line="276" w:lineRule="auto"/>
              <w:contextualSpacing/>
              <w:jc w:val="center"/>
              <w:rPr>
                <w:lang w:val="uk-UA"/>
              </w:rPr>
            </w:pPr>
            <w:r w:rsidRPr="00750B42">
              <w:rPr>
                <w:lang w:val="uk-UA"/>
              </w:rPr>
              <w:t>1,30%</w:t>
            </w:r>
          </w:p>
        </w:tc>
        <w:tc>
          <w:tcPr>
            <w:tcW w:w="1134" w:type="dxa"/>
            <w:vAlign w:val="center"/>
          </w:tcPr>
          <w:p w14:paraId="575E0823" w14:textId="77777777" w:rsidR="00496655" w:rsidRPr="00750B42" w:rsidRDefault="004314A0" w:rsidP="00DF5B09">
            <w:pPr>
              <w:tabs>
                <w:tab w:val="left" w:pos="720"/>
              </w:tabs>
              <w:spacing w:after="60" w:line="276" w:lineRule="auto"/>
              <w:contextualSpacing/>
              <w:jc w:val="center"/>
              <w:rPr>
                <w:lang w:val="uk-UA"/>
              </w:rPr>
            </w:pPr>
            <w:r w:rsidRPr="00750B42">
              <w:rPr>
                <w:lang w:val="uk-UA"/>
              </w:rPr>
              <w:t>98,</w:t>
            </w:r>
            <w:r w:rsidR="00D41370" w:rsidRPr="00750B42">
              <w:rPr>
                <w:lang w:val="uk-UA"/>
              </w:rPr>
              <w:t>7</w:t>
            </w:r>
            <w:r w:rsidRPr="00750B42">
              <w:rPr>
                <w:lang w:val="uk-UA"/>
              </w:rPr>
              <w:t>0</w:t>
            </w:r>
            <w:r w:rsidR="00D41370" w:rsidRPr="00750B42">
              <w:rPr>
                <w:lang w:val="uk-UA"/>
              </w:rPr>
              <w:t>%</w:t>
            </w:r>
          </w:p>
        </w:tc>
        <w:tc>
          <w:tcPr>
            <w:tcW w:w="2268" w:type="dxa"/>
            <w:vAlign w:val="center"/>
          </w:tcPr>
          <w:p w14:paraId="4D6AFD8E" w14:textId="77777777" w:rsidR="00496655" w:rsidRPr="00750B42" w:rsidRDefault="004314A0" w:rsidP="00DF5B09">
            <w:pPr>
              <w:tabs>
                <w:tab w:val="left" w:pos="720"/>
              </w:tabs>
              <w:spacing w:after="60" w:line="276" w:lineRule="auto"/>
              <w:contextualSpacing/>
              <w:jc w:val="center"/>
              <w:rPr>
                <w:lang w:val="uk-UA"/>
              </w:rPr>
            </w:pPr>
            <w:r w:rsidRPr="00750B42">
              <w:rPr>
                <w:lang w:val="uk-UA"/>
              </w:rPr>
              <w:t>0</w:t>
            </w:r>
            <w:r w:rsidR="00D41370" w:rsidRPr="00750B42">
              <w:rPr>
                <w:lang w:val="uk-UA"/>
              </w:rPr>
              <w:t>%</w:t>
            </w:r>
          </w:p>
        </w:tc>
        <w:tc>
          <w:tcPr>
            <w:tcW w:w="1418" w:type="dxa"/>
            <w:vAlign w:val="center"/>
          </w:tcPr>
          <w:p w14:paraId="1C8E1E6F" w14:textId="77777777" w:rsidR="00496655" w:rsidRPr="00750B42" w:rsidRDefault="004314A0" w:rsidP="00DF5B09">
            <w:pPr>
              <w:tabs>
                <w:tab w:val="left" w:pos="720"/>
              </w:tabs>
              <w:spacing w:after="60" w:line="276" w:lineRule="auto"/>
              <w:contextualSpacing/>
              <w:jc w:val="center"/>
              <w:rPr>
                <w:lang w:val="uk-UA"/>
              </w:rPr>
            </w:pPr>
            <w:r w:rsidRPr="00750B42">
              <w:rPr>
                <w:lang w:val="uk-UA"/>
              </w:rPr>
              <w:t>0</w:t>
            </w:r>
            <w:r w:rsidR="00D41370" w:rsidRPr="00750B42">
              <w:rPr>
                <w:lang w:val="uk-UA"/>
              </w:rPr>
              <w:t>%</w:t>
            </w:r>
          </w:p>
        </w:tc>
        <w:tc>
          <w:tcPr>
            <w:tcW w:w="1417" w:type="dxa"/>
            <w:vAlign w:val="center"/>
          </w:tcPr>
          <w:p w14:paraId="133246BE" w14:textId="77777777" w:rsidR="00496655" w:rsidRPr="00750B42" w:rsidRDefault="00D902A7" w:rsidP="00DF5B09">
            <w:pPr>
              <w:tabs>
                <w:tab w:val="left" w:pos="720"/>
              </w:tabs>
              <w:spacing w:after="60" w:line="276" w:lineRule="auto"/>
              <w:contextualSpacing/>
              <w:jc w:val="center"/>
              <w:rPr>
                <w:lang w:val="uk-UA"/>
              </w:rPr>
            </w:pPr>
            <w:r w:rsidRPr="00750B42">
              <w:rPr>
                <w:lang w:val="uk-UA"/>
              </w:rPr>
              <w:t>100</w:t>
            </w:r>
            <w:r w:rsidR="009A0FC7" w:rsidRPr="00750B42">
              <w:rPr>
                <w:lang w:val="uk-UA"/>
              </w:rPr>
              <w:t>%</w:t>
            </w:r>
          </w:p>
        </w:tc>
      </w:tr>
    </w:tbl>
    <w:p w14:paraId="01873DDF" w14:textId="77777777" w:rsidR="0011750D" w:rsidRPr="00750B42" w:rsidRDefault="00DF5B09" w:rsidP="00DF5B09">
      <w:pPr>
        <w:pStyle w:val="af0"/>
        <w:tabs>
          <w:tab w:val="left" w:pos="720"/>
        </w:tabs>
        <w:spacing w:after="60" w:line="276" w:lineRule="auto"/>
        <w:ind w:left="1080"/>
        <w:jc w:val="both"/>
        <w:rPr>
          <w:rFonts w:eastAsia="Times New Roman"/>
          <w:lang w:val="ru-RU"/>
        </w:rPr>
      </w:pPr>
      <w:r w:rsidRPr="00750B42">
        <w:rPr>
          <w:rFonts w:eastAsia="Times New Roman"/>
          <w:lang w:val="uk-UA"/>
        </w:rPr>
        <w:t>* у галузі електроенергетики, у сфері теплопостачання, разом.</w:t>
      </w:r>
    </w:p>
    <w:p w14:paraId="3C5D4C35" w14:textId="630E568F" w:rsidR="00DD5DD1" w:rsidRPr="0051575F" w:rsidRDefault="009C2C13" w:rsidP="00497F6D">
      <w:pPr>
        <w:pStyle w:val="20"/>
        <w:spacing w:after="0" w:line="276" w:lineRule="auto"/>
        <w:ind w:firstLine="709"/>
        <w:jc w:val="both"/>
        <w:rPr>
          <w:rFonts w:eastAsia="Times New Roman"/>
          <w:bCs/>
          <w:sz w:val="28"/>
          <w:lang w:val="uk-UA" w:eastAsia="uk-UA"/>
        </w:rPr>
      </w:pPr>
      <w:proofErr w:type="spellStart"/>
      <w:r>
        <w:rPr>
          <w:rFonts w:eastAsia="Times New Roman"/>
          <w:sz w:val="28"/>
          <w:lang w:val="uk-UA"/>
        </w:rPr>
        <w:t>Проєкт</w:t>
      </w:r>
      <w:proofErr w:type="spellEnd"/>
      <w:r w:rsidR="004617E0" w:rsidRPr="00750B42">
        <w:rPr>
          <w:rFonts w:eastAsia="Times New Roman"/>
          <w:sz w:val="28"/>
          <w:lang w:val="uk-UA"/>
        </w:rPr>
        <w:t xml:space="preserve"> </w:t>
      </w:r>
      <w:proofErr w:type="spellStart"/>
      <w:r w:rsidR="004617E0" w:rsidRPr="00750B42">
        <w:rPr>
          <w:rFonts w:eastAsia="Times New Roman"/>
          <w:sz w:val="28"/>
          <w:lang w:val="uk-UA"/>
        </w:rPr>
        <w:t>акта</w:t>
      </w:r>
      <w:proofErr w:type="spellEnd"/>
      <w:r w:rsidR="00D91007" w:rsidRPr="00750B42">
        <w:rPr>
          <w:rFonts w:eastAsia="Times New Roman"/>
          <w:sz w:val="28"/>
          <w:lang w:val="uk-UA"/>
        </w:rPr>
        <w:t xml:space="preserve"> розповсюджується на </w:t>
      </w:r>
      <w:r w:rsidR="004617E0" w:rsidRPr="00750B42">
        <w:rPr>
          <w:rFonts w:eastAsia="Times New Roman"/>
          <w:sz w:val="28"/>
          <w:lang w:val="uk-UA"/>
        </w:rPr>
        <w:t xml:space="preserve">всіх </w:t>
      </w:r>
      <w:r w:rsidR="00E05F5B" w:rsidRPr="00750B42">
        <w:rPr>
          <w:rFonts w:eastAsia="Times New Roman"/>
          <w:sz w:val="28"/>
          <w:lang w:val="uk-UA"/>
        </w:rPr>
        <w:t>суб’єктів господарювання</w:t>
      </w:r>
      <w:r w:rsidR="004F72EA" w:rsidRPr="00750B42">
        <w:rPr>
          <w:rFonts w:eastAsia="Times New Roman"/>
          <w:sz w:val="28"/>
          <w:lang w:val="uk-UA"/>
        </w:rPr>
        <w:t>, які</w:t>
      </w:r>
      <w:r w:rsidR="00E05F5B" w:rsidRPr="00750B42">
        <w:rPr>
          <w:rFonts w:eastAsia="Times New Roman"/>
          <w:sz w:val="28"/>
          <w:lang w:val="uk-UA"/>
        </w:rPr>
        <w:t xml:space="preserve"> </w:t>
      </w:r>
      <w:r w:rsidR="004F72EA" w:rsidRPr="00750B42">
        <w:rPr>
          <w:sz w:val="28"/>
          <w:lang w:val="uk-UA"/>
        </w:rPr>
        <w:t>провадять господарську діяльність у галузі електроенергетики та сфері теплопостачання</w:t>
      </w:r>
      <w:r w:rsidR="006772F5" w:rsidRPr="00750B42">
        <w:rPr>
          <w:sz w:val="28"/>
          <w:lang w:val="uk-UA"/>
        </w:rPr>
        <w:t>, крім малих та мікро- суб’єктів господарювання та</w:t>
      </w:r>
      <w:r w:rsidR="004314A0" w:rsidRPr="00750B42">
        <w:rPr>
          <w:sz w:val="28"/>
          <w:lang w:val="uk-UA"/>
        </w:rPr>
        <w:t xml:space="preserve"> </w:t>
      </w:r>
      <w:r w:rsidR="006772F5" w:rsidRPr="00750B42">
        <w:rPr>
          <w:sz w:val="28"/>
          <w:lang w:val="uk-UA"/>
        </w:rPr>
        <w:t>СГД-фізичних осіб</w:t>
      </w:r>
      <w:r w:rsidR="00E05F5B" w:rsidRPr="00750B42">
        <w:rPr>
          <w:sz w:val="28"/>
          <w:lang w:val="uk-UA"/>
        </w:rPr>
        <w:t>.</w:t>
      </w:r>
      <w:r w:rsidR="00497F6D" w:rsidRPr="00750B42">
        <w:rPr>
          <w:sz w:val="28"/>
          <w:lang w:val="uk-UA"/>
        </w:rPr>
        <w:t xml:space="preserve"> </w:t>
      </w:r>
      <w:r w:rsidR="006A0664" w:rsidRPr="0051575F">
        <w:rPr>
          <w:rFonts w:eastAsia="Times New Roman"/>
          <w:bCs/>
          <w:sz w:val="28"/>
          <w:lang w:val="uk-UA" w:eastAsia="uk-UA"/>
        </w:rPr>
        <w:t>Таким чином, кількість піднаглядних суб’єктів господарювання становить 75 100 одиниць</w:t>
      </w:r>
      <w:r w:rsidR="00DD5DD1" w:rsidRPr="0051575F">
        <w:rPr>
          <w:rFonts w:eastAsia="Times New Roman"/>
          <w:bCs/>
          <w:sz w:val="28"/>
          <w:lang w:val="uk-UA" w:eastAsia="uk-UA"/>
        </w:rPr>
        <w:t>.</w:t>
      </w:r>
    </w:p>
    <w:p w14:paraId="62416FEF" w14:textId="77777777" w:rsidR="00B84D19" w:rsidRPr="0051575F" w:rsidRDefault="00DD5DD1" w:rsidP="001D6F9F">
      <w:pPr>
        <w:shd w:val="clear" w:color="auto" w:fill="FFFFFF"/>
        <w:spacing w:line="276" w:lineRule="auto"/>
        <w:ind w:firstLine="709"/>
        <w:jc w:val="both"/>
        <w:rPr>
          <w:rFonts w:eastAsia="Times New Roman"/>
          <w:bCs/>
          <w:sz w:val="28"/>
          <w:lang w:val="uk-UA" w:eastAsia="uk-UA"/>
        </w:rPr>
      </w:pPr>
      <w:r w:rsidRPr="0051575F">
        <w:rPr>
          <w:rFonts w:eastAsia="Times New Roman"/>
          <w:bCs/>
          <w:sz w:val="28"/>
          <w:lang w:val="uk-UA" w:eastAsia="uk-UA"/>
        </w:rPr>
        <w:t xml:space="preserve">Середньооблікова чисельність державних </w:t>
      </w:r>
      <w:r w:rsidR="00D31C65" w:rsidRPr="0051575F">
        <w:rPr>
          <w:rFonts w:eastAsia="Times New Roman"/>
          <w:bCs/>
          <w:sz w:val="28"/>
          <w:lang w:val="uk-UA" w:eastAsia="uk-UA"/>
        </w:rPr>
        <w:t xml:space="preserve">(старших державних) </w:t>
      </w:r>
      <w:r w:rsidRPr="0051575F">
        <w:rPr>
          <w:rFonts w:eastAsia="Times New Roman"/>
          <w:bCs/>
          <w:sz w:val="28"/>
          <w:lang w:val="uk-UA" w:eastAsia="uk-UA"/>
        </w:rPr>
        <w:t xml:space="preserve">інспекторів </w:t>
      </w:r>
      <w:r w:rsidR="00745CF9" w:rsidRPr="0051575F">
        <w:rPr>
          <w:rFonts w:eastAsia="Times New Roman"/>
          <w:bCs/>
          <w:sz w:val="28"/>
          <w:lang w:val="uk-UA" w:eastAsia="uk-UA"/>
        </w:rPr>
        <w:t>з енергетичного нагляду</w:t>
      </w:r>
      <w:r w:rsidRPr="0051575F">
        <w:rPr>
          <w:rFonts w:eastAsia="Times New Roman"/>
          <w:bCs/>
          <w:sz w:val="28"/>
          <w:lang w:val="uk-UA" w:eastAsia="uk-UA"/>
        </w:rPr>
        <w:t xml:space="preserve">, які можуть здійснювати перевірки щодо додержання законодавства </w:t>
      </w:r>
      <w:r w:rsidR="00745CF9" w:rsidRPr="0051575F">
        <w:rPr>
          <w:rFonts w:eastAsia="Times New Roman"/>
          <w:bCs/>
          <w:sz w:val="28"/>
          <w:lang w:val="uk-UA" w:eastAsia="uk-UA"/>
        </w:rPr>
        <w:t>в галузі електроенергетики та сфері теплопостачання</w:t>
      </w:r>
      <w:r w:rsidR="00D31C65" w:rsidRPr="0051575F">
        <w:rPr>
          <w:rFonts w:eastAsia="Times New Roman"/>
          <w:bCs/>
          <w:sz w:val="28"/>
          <w:lang w:val="uk-UA" w:eastAsia="uk-UA"/>
        </w:rPr>
        <w:t>,</w:t>
      </w:r>
      <w:r w:rsidRPr="0051575F">
        <w:rPr>
          <w:rFonts w:eastAsia="Times New Roman"/>
          <w:bCs/>
          <w:sz w:val="28"/>
          <w:lang w:val="uk-UA" w:eastAsia="uk-UA"/>
        </w:rPr>
        <w:t xml:space="preserve"> становить </w:t>
      </w:r>
      <w:r w:rsidRPr="004314A0">
        <w:rPr>
          <w:rFonts w:eastAsia="Times New Roman"/>
          <w:bCs/>
          <w:color w:val="4F81BD" w:themeColor="accent1"/>
          <w:sz w:val="28"/>
          <w:lang w:val="uk-UA" w:eastAsia="uk-UA"/>
        </w:rPr>
        <w:t xml:space="preserve">близько </w:t>
      </w:r>
      <w:r w:rsidR="004314A0" w:rsidRPr="004314A0">
        <w:rPr>
          <w:rFonts w:eastAsia="Times New Roman"/>
          <w:bCs/>
          <w:color w:val="4F81BD" w:themeColor="accent1"/>
          <w:sz w:val="28"/>
          <w:lang w:val="uk-UA" w:eastAsia="uk-UA"/>
        </w:rPr>
        <w:t>37</w:t>
      </w:r>
      <w:r w:rsidR="00222B9B" w:rsidRPr="004314A0">
        <w:rPr>
          <w:rFonts w:eastAsia="Times New Roman"/>
          <w:bCs/>
          <w:color w:val="4F81BD" w:themeColor="accent1"/>
          <w:sz w:val="28"/>
          <w:lang w:val="uk-UA" w:eastAsia="uk-UA"/>
        </w:rPr>
        <w:t xml:space="preserve">5 </w:t>
      </w:r>
      <w:r w:rsidRPr="004314A0">
        <w:rPr>
          <w:rFonts w:eastAsia="Times New Roman"/>
          <w:bCs/>
          <w:color w:val="4F81BD" w:themeColor="accent1"/>
          <w:sz w:val="28"/>
          <w:lang w:val="uk-UA" w:eastAsia="uk-UA"/>
        </w:rPr>
        <w:t>чоловік</w:t>
      </w:r>
      <w:r w:rsidRPr="0051575F">
        <w:rPr>
          <w:rFonts w:eastAsia="Times New Roman"/>
          <w:bCs/>
          <w:sz w:val="28"/>
          <w:lang w:val="uk-UA" w:eastAsia="uk-UA"/>
        </w:rPr>
        <w:t xml:space="preserve">. З практики проведення перевірок додержання законодавства </w:t>
      </w:r>
      <w:r w:rsidR="00745CF9" w:rsidRPr="0051575F">
        <w:rPr>
          <w:rFonts w:eastAsia="Times New Roman"/>
          <w:bCs/>
          <w:sz w:val="28"/>
          <w:lang w:val="uk-UA" w:eastAsia="uk-UA"/>
        </w:rPr>
        <w:t>в галузі електроенергетики та сфері теплопостачання</w:t>
      </w:r>
      <w:r w:rsidRPr="0051575F">
        <w:rPr>
          <w:rFonts w:eastAsia="Times New Roman"/>
          <w:bCs/>
          <w:sz w:val="28"/>
          <w:lang w:val="uk-UA" w:eastAsia="uk-UA"/>
        </w:rPr>
        <w:t>, один державний</w:t>
      </w:r>
      <w:r w:rsidR="00D31C65" w:rsidRPr="0051575F">
        <w:rPr>
          <w:rFonts w:eastAsia="Times New Roman"/>
          <w:bCs/>
          <w:sz w:val="28"/>
          <w:lang w:val="uk-UA" w:eastAsia="uk-UA"/>
        </w:rPr>
        <w:t xml:space="preserve"> (старший державний)</w:t>
      </w:r>
      <w:r w:rsidRPr="0051575F">
        <w:rPr>
          <w:rFonts w:eastAsia="Times New Roman"/>
          <w:bCs/>
          <w:sz w:val="28"/>
          <w:lang w:val="uk-UA" w:eastAsia="uk-UA"/>
        </w:rPr>
        <w:t xml:space="preserve"> інспектор</w:t>
      </w:r>
      <w:r w:rsidR="00D31C65" w:rsidRPr="0051575F">
        <w:rPr>
          <w:rFonts w:eastAsia="Times New Roman"/>
          <w:bCs/>
          <w:sz w:val="28"/>
          <w:lang w:val="uk-UA" w:eastAsia="uk-UA"/>
        </w:rPr>
        <w:t xml:space="preserve"> з енергетичного нагляду</w:t>
      </w:r>
      <w:r w:rsidRPr="0051575F">
        <w:rPr>
          <w:rFonts w:eastAsia="Times New Roman"/>
          <w:bCs/>
          <w:sz w:val="28"/>
          <w:lang w:val="uk-UA" w:eastAsia="uk-UA"/>
        </w:rPr>
        <w:t xml:space="preserve"> </w:t>
      </w:r>
      <w:r w:rsidR="00115D62" w:rsidRPr="0051575F">
        <w:rPr>
          <w:rFonts w:eastAsia="Times New Roman"/>
          <w:bCs/>
          <w:sz w:val="28"/>
          <w:lang w:val="uk-UA" w:eastAsia="uk-UA"/>
        </w:rPr>
        <w:t>за</w:t>
      </w:r>
      <w:r w:rsidRPr="0051575F">
        <w:rPr>
          <w:rFonts w:eastAsia="Times New Roman"/>
          <w:bCs/>
          <w:sz w:val="28"/>
          <w:lang w:val="uk-UA" w:eastAsia="uk-UA"/>
        </w:rPr>
        <w:t xml:space="preserve"> рік може провести в середньому близько </w:t>
      </w:r>
      <w:r w:rsidR="00115D62" w:rsidRPr="0051575F">
        <w:rPr>
          <w:rFonts w:eastAsia="Times New Roman"/>
          <w:bCs/>
          <w:sz w:val="28"/>
          <w:lang w:val="uk-UA" w:eastAsia="uk-UA"/>
        </w:rPr>
        <w:t>30</w:t>
      </w:r>
      <w:r w:rsidRPr="0051575F">
        <w:rPr>
          <w:rFonts w:eastAsia="Times New Roman"/>
          <w:bCs/>
          <w:sz w:val="28"/>
          <w:lang w:val="uk-UA" w:eastAsia="uk-UA"/>
        </w:rPr>
        <w:t xml:space="preserve"> перевірок. Виходячи з наведеного, за один рік перевірками може бути </w:t>
      </w:r>
      <w:r w:rsidRPr="0051575F">
        <w:rPr>
          <w:rFonts w:eastAsia="Times New Roman"/>
          <w:bCs/>
          <w:sz w:val="28"/>
          <w:lang w:val="uk-UA" w:eastAsia="uk-UA"/>
        </w:rPr>
        <w:lastRenderedPageBreak/>
        <w:t xml:space="preserve">охоплено </w:t>
      </w:r>
      <w:r w:rsidRPr="004314A0">
        <w:rPr>
          <w:rFonts w:eastAsia="Times New Roman"/>
          <w:bCs/>
          <w:color w:val="4F81BD" w:themeColor="accent1"/>
          <w:sz w:val="28"/>
          <w:lang w:val="uk-UA" w:eastAsia="uk-UA"/>
        </w:rPr>
        <w:t xml:space="preserve">до </w:t>
      </w:r>
      <w:r w:rsidR="004314A0" w:rsidRPr="004314A0">
        <w:rPr>
          <w:rFonts w:eastAsia="Times New Roman"/>
          <w:bCs/>
          <w:color w:val="4F81BD" w:themeColor="accent1"/>
          <w:sz w:val="28"/>
          <w:lang w:val="uk-UA" w:eastAsia="uk-UA"/>
        </w:rPr>
        <w:t>112</w:t>
      </w:r>
      <w:r w:rsidR="00222B9B" w:rsidRPr="004314A0">
        <w:rPr>
          <w:rFonts w:eastAsia="Times New Roman"/>
          <w:bCs/>
          <w:color w:val="4F81BD" w:themeColor="accent1"/>
          <w:sz w:val="28"/>
          <w:lang w:val="uk-UA" w:eastAsia="uk-UA"/>
        </w:rPr>
        <w:t>50</w:t>
      </w:r>
      <w:r w:rsidRPr="0051575F">
        <w:rPr>
          <w:rFonts w:eastAsia="Times New Roman"/>
          <w:bCs/>
          <w:sz w:val="28"/>
          <w:lang w:val="uk-UA" w:eastAsia="uk-UA"/>
        </w:rPr>
        <w:t xml:space="preserve"> суб’єктів господарювання. За такої інтенсивності інспекційних заходів один суб’єкт господарювання може бути перевірений інспекторами </w:t>
      </w:r>
      <w:r w:rsidR="00D31C65" w:rsidRPr="0051575F">
        <w:rPr>
          <w:rFonts w:eastAsia="Times New Roman"/>
          <w:bCs/>
          <w:sz w:val="28"/>
          <w:lang w:val="uk-UA" w:eastAsia="uk-UA"/>
        </w:rPr>
        <w:t>з енергетичного нагляду</w:t>
      </w:r>
      <w:r w:rsidRPr="0051575F">
        <w:rPr>
          <w:rFonts w:eastAsia="Times New Roman"/>
          <w:bCs/>
          <w:sz w:val="28"/>
          <w:lang w:val="uk-UA" w:eastAsia="uk-UA"/>
        </w:rPr>
        <w:t xml:space="preserve"> не частіше ніж один раз на </w:t>
      </w:r>
      <w:r w:rsidR="00116CFB" w:rsidRPr="0051575F">
        <w:rPr>
          <w:rFonts w:eastAsia="Times New Roman"/>
          <w:bCs/>
          <w:sz w:val="28"/>
          <w:lang w:val="uk-UA" w:eastAsia="uk-UA"/>
        </w:rPr>
        <w:t>6</w:t>
      </w:r>
      <w:r w:rsidRPr="0051575F">
        <w:rPr>
          <w:rFonts w:eastAsia="Times New Roman"/>
          <w:bCs/>
          <w:sz w:val="28"/>
          <w:lang w:val="uk-UA" w:eastAsia="uk-UA"/>
        </w:rPr>
        <w:t xml:space="preserve"> років.</w:t>
      </w:r>
    </w:p>
    <w:p w14:paraId="03701199" w14:textId="77777777" w:rsidR="000D42A0" w:rsidRDefault="000D42A0" w:rsidP="001D6F9F">
      <w:pPr>
        <w:spacing w:line="276" w:lineRule="auto"/>
        <w:ind w:firstLine="448"/>
        <w:jc w:val="both"/>
        <w:textAlignment w:val="baseline"/>
        <w:rPr>
          <w:rFonts w:eastAsia="Times New Roman"/>
          <w:lang w:val="uk-UA"/>
        </w:rPr>
      </w:pPr>
    </w:p>
    <w:p w14:paraId="7D5FD207" w14:textId="77777777" w:rsidR="00CB44BD" w:rsidRPr="0051575F" w:rsidRDefault="00CB44BD" w:rsidP="001D6F9F">
      <w:pPr>
        <w:spacing w:line="276" w:lineRule="auto"/>
        <w:ind w:firstLine="448"/>
        <w:jc w:val="both"/>
        <w:textAlignment w:val="baseline"/>
        <w:rPr>
          <w:rFonts w:eastAsia="Times New Roman"/>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561"/>
        <w:gridCol w:w="3319"/>
      </w:tblGrid>
      <w:tr w:rsidR="0051575F" w:rsidRPr="0051575F" w14:paraId="06669265" w14:textId="77777777" w:rsidTr="00BD7F79">
        <w:tc>
          <w:tcPr>
            <w:tcW w:w="2722" w:type="dxa"/>
            <w:shd w:val="clear" w:color="auto" w:fill="auto"/>
          </w:tcPr>
          <w:p w14:paraId="60094044" w14:textId="77777777" w:rsidR="00EC1750" w:rsidRPr="0051575F" w:rsidRDefault="00EC1750" w:rsidP="00D94D1C">
            <w:pPr>
              <w:spacing w:line="276" w:lineRule="auto"/>
              <w:jc w:val="center"/>
              <w:rPr>
                <w:rFonts w:eastAsia="Times New Roman"/>
                <w:b/>
                <w:lang w:val="uk-UA"/>
              </w:rPr>
            </w:pPr>
            <w:r w:rsidRPr="0051575F">
              <w:rPr>
                <w:rFonts w:eastAsia="Times New Roman"/>
                <w:b/>
                <w:lang w:val="uk-UA"/>
              </w:rPr>
              <w:t>Вид альтернативи</w:t>
            </w:r>
          </w:p>
        </w:tc>
        <w:tc>
          <w:tcPr>
            <w:tcW w:w="3561" w:type="dxa"/>
            <w:shd w:val="clear" w:color="auto" w:fill="auto"/>
          </w:tcPr>
          <w:p w14:paraId="5DF355EE" w14:textId="77777777" w:rsidR="00EC1750" w:rsidRPr="0051575F" w:rsidRDefault="00EC1750" w:rsidP="00D94D1C">
            <w:pPr>
              <w:spacing w:line="276" w:lineRule="auto"/>
              <w:jc w:val="center"/>
              <w:rPr>
                <w:rFonts w:eastAsia="Times New Roman"/>
                <w:b/>
                <w:lang w:val="uk-UA"/>
              </w:rPr>
            </w:pPr>
            <w:r w:rsidRPr="0051575F">
              <w:rPr>
                <w:rFonts w:eastAsia="Times New Roman"/>
                <w:b/>
                <w:lang w:val="uk-UA"/>
              </w:rPr>
              <w:t>Вигоди</w:t>
            </w:r>
          </w:p>
        </w:tc>
        <w:tc>
          <w:tcPr>
            <w:tcW w:w="3319" w:type="dxa"/>
            <w:shd w:val="clear" w:color="auto" w:fill="auto"/>
          </w:tcPr>
          <w:p w14:paraId="5B347482" w14:textId="77777777" w:rsidR="00EC1750" w:rsidRPr="0051575F" w:rsidRDefault="00EC1750" w:rsidP="00D94D1C">
            <w:pPr>
              <w:spacing w:line="276" w:lineRule="auto"/>
              <w:jc w:val="center"/>
              <w:rPr>
                <w:rFonts w:eastAsia="Times New Roman"/>
                <w:b/>
                <w:lang w:val="uk-UA"/>
              </w:rPr>
            </w:pPr>
            <w:r w:rsidRPr="0051575F">
              <w:rPr>
                <w:rFonts w:eastAsia="Times New Roman"/>
                <w:b/>
                <w:lang w:val="uk-UA"/>
              </w:rPr>
              <w:t>Витрати</w:t>
            </w:r>
          </w:p>
        </w:tc>
      </w:tr>
      <w:tr w:rsidR="0051575F" w:rsidRPr="00750B42" w14:paraId="4A2D14B3" w14:textId="77777777" w:rsidTr="00BD7F79">
        <w:tc>
          <w:tcPr>
            <w:tcW w:w="2722" w:type="dxa"/>
            <w:shd w:val="clear" w:color="auto" w:fill="auto"/>
          </w:tcPr>
          <w:p w14:paraId="280AE723" w14:textId="77777777" w:rsidR="00EC1750" w:rsidRPr="0051575F" w:rsidRDefault="00EC1750" w:rsidP="001D6F9F">
            <w:pPr>
              <w:spacing w:line="276" w:lineRule="auto"/>
              <w:jc w:val="both"/>
              <w:rPr>
                <w:rFonts w:eastAsia="Times New Roman"/>
                <w:lang w:val="uk-UA"/>
              </w:rPr>
            </w:pPr>
            <w:r w:rsidRPr="0051575F">
              <w:rPr>
                <w:rFonts w:eastAsia="Times New Roman"/>
                <w:lang w:val="uk-UA"/>
              </w:rPr>
              <w:t>Альтернатива 1:</w:t>
            </w:r>
          </w:p>
          <w:p w14:paraId="4551F744" w14:textId="1535AD8C" w:rsidR="00EC1750" w:rsidRPr="0051575F" w:rsidRDefault="007F5363" w:rsidP="001D6F9F">
            <w:pPr>
              <w:spacing w:line="276" w:lineRule="auto"/>
              <w:jc w:val="both"/>
              <w:rPr>
                <w:rFonts w:eastAsia="Times New Roman"/>
                <w:lang w:val="uk-UA"/>
              </w:rPr>
            </w:pPr>
            <w:r w:rsidRPr="0051575F">
              <w:rPr>
                <w:rFonts w:eastAsia="Times New Roman"/>
                <w:lang w:val="uk-UA"/>
              </w:rPr>
              <w:t xml:space="preserve">прийняття </w:t>
            </w:r>
            <w:proofErr w:type="spellStart"/>
            <w:r w:rsidR="009C2C13">
              <w:rPr>
                <w:rFonts w:eastAsia="Times New Roman"/>
                <w:lang w:val="uk-UA"/>
              </w:rPr>
              <w:t>проєкт</w:t>
            </w:r>
            <w:r w:rsidRPr="0051575F">
              <w:rPr>
                <w:rFonts w:eastAsia="Times New Roman"/>
                <w:lang w:val="uk-UA"/>
              </w:rPr>
              <w:t>у</w:t>
            </w:r>
            <w:proofErr w:type="spellEnd"/>
            <w:r w:rsidRPr="0051575F">
              <w:rPr>
                <w:rFonts w:eastAsia="Times New Roman"/>
                <w:lang w:val="uk-UA"/>
              </w:rPr>
              <w:t xml:space="preserve"> постанови Кабінету Міністрів України «Про затвердження критеріїв, за якими оцінюється ступінь ризику від провадження господарської діяльності в галузі електроенергетики та сфері теплопостачання і визначається періодичність здійснення</w:t>
            </w:r>
            <w:r w:rsidR="003324A7">
              <w:rPr>
                <w:rFonts w:eastAsia="Times New Roman"/>
                <w:lang w:val="uk-UA"/>
              </w:rPr>
              <w:t xml:space="preserve"> планових</w:t>
            </w:r>
            <w:r w:rsidRPr="0051575F">
              <w:rPr>
                <w:rFonts w:eastAsia="Times New Roman"/>
                <w:lang w:val="uk-UA"/>
              </w:rPr>
              <w:t xml:space="preserve"> заходів державного нагляду (контролю) Державною інспекцією енергетичного нагляду та визнання такими, що втратили чинність, деяких постанов Кабінету Міністрів України» </w:t>
            </w:r>
          </w:p>
        </w:tc>
        <w:tc>
          <w:tcPr>
            <w:tcW w:w="3561" w:type="dxa"/>
            <w:shd w:val="clear" w:color="auto" w:fill="auto"/>
          </w:tcPr>
          <w:p w14:paraId="7487C577" w14:textId="77777777" w:rsidR="00674E32" w:rsidRPr="0051575F" w:rsidRDefault="00674E32" w:rsidP="001D6F9F">
            <w:pPr>
              <w:spacing w:line="276" w:lineRule="auto"/>
              <w:ind w:firstLine="317"/>
              <w:rPr>
                <w:rFonts w:eastAsia="Times New Roman"/>
                <w:lang w:val="uk-UA" w:eastAsia="uk-UA"/>
              </w:rPr>
            </w:pPr>
            <w:r w:rsidRPr="0051575F">
              <w:rPr>
                <w:rFonts w:eastAsia="Times New Roman"/>
                <w:lang w:val="uk-UA" w:eastAsia="uk-UA"/>
              </w:rPr>
              <w:t xml:space="preserve">Зменшує </w:t>
            </w:r>
            <w:r w:rsidR="008D245A" w:rsidRPr="0051575F">
              <w:rPr>
                <w:rFonts w:eastAsia="Times New Roman"/>
                <w:lang w:val="uk-UA" w:eastAsia="uk-UA"/>
              </w:rPr>
              <w:t xml:space="preserve">взаємні </w:t>
            </w:r>
            <w:r w:rsidRPr="0051575F">
              <w:rPr>
                <w:rFonts w:eastAsia="Times New Roman"/>
                <w:lang w:val="uk-UA" w:eastAsia="uk-UA"/>
              </w:rPr>
              <w:t>ризики</w:t>
            </w:r>
            <w:r w:rsidR="000F07CE" w:rsidRPr="0051575F">
              <w:rPr>
                <w:rFonts w:eastAsia="Times New Roman"/>
                <w:lang w:val="uk-UA" w:eastAsia="uk-UA"/>
              </w:rPr>
              <w:t xml:space="preserve"> корупційного підходу контролюючих органів </w:t>
            </w:r>
            <w:r w:rsidR="008D245A" w:rsidRPr="0051575F">
              <w:rPr>
                <w:rFonts w:eastAsia="Times New Roman"/>
                <w:lang w:val="uk-UA" w:eastAsia="uk-UA"/>
              </w:rPr>
              <w:t>і</w:t>
            </w:r>
            <w:r w:rsidR="000F07CE" w:rsidRPr="0051575F">
              <w:rPr>
                <w:rFonts w:eastAsia="Times New Roman"/>
                <w:lang w:val="uk-UA" w:eastAsia="uk-UA"/>
              </w:rPr>
              <w:t xml:space="preserve"> суб’єктів господарювання, забезпечує прозорість включення суб’єктів господарювання до плану заходів, дозволяє упередити виникнення ризиків виникнення у суб’єктів господарювання, пов’язані з виробництвом, передачею та споживанням електричної енергії</w:t>
            </w:r>
            <w:r w:rsidR="00FE40D6" w:rsidRPr="0051575F">
              <w:rPr>
                <w:rFonts w:eastAsia="Times New Roman"/>
                <w:lang w:val="uk-UA" w:eastAsia="uk-UA"/>
              </w:rPr>
              <w:t>.</w:t>
            </w:r>
          </w:p>
          <w:p w14:paraId="17AF574D" w14:textId="77777777" w:rsidR="00CE5429" w:rsidRPr="0051575F" w:rsidRDefault="00ED0F3F" w:rsidP="00FE40D6">
            <w:pPr>
              <w:spacing w:line="276" w:lineRule="auto"/>
              <w:ind w:firstLine="317"/>
              <w:rPr>
                <w:rFonts w:eastAsia="Times New Roman"/>
                <w:lang w:val="uk-UA"/>
              </w:rPr>
            </w:pPr>
            <w:r w:rsidRPr="0051575F">
              <w:rPr>
                <w:rFonts w:eastAsia="Times New Roman"/>
                <w:lang w:val="uk-UA" w:eastAsia="uk-UA"/>
              </w:rPr>
              <w:t>Забезпечує зменшення кількості та частоти здійснення перевірок суб’єктів господарської діяльності</w:t>
            </w:r>
            <w:r w:rsidR="00985CB5" w:rsidRPr="0051575F">
              <w:rPr>
                <w:rFonts w:eastAsia="Times New Roman"/>
                <w:lang w:val="uk-UA" w:eastAsia="uk-UA"/>
              </w:rPr>
              <w:t xml:space="preserve">; встановлює чіткий, прозорий механізм проведення перевірок </w:t>
            </w:r>
            <w:r w:rsidR="00B94331" w:rsidRPr="0051575F">
              <w:rPr>
                <w:rFonts w:eastAsia="Times New Roman"/>
                <w:lang w:val="uk-UA" w:eastAsia="uk-UA"/>
              </w:rPr>
              <w:t xml:space="preserve">суб’єктів господарювання </w:t>
            </w:r>
            <w:r w:rsidR="00985CB5" w:rsidRPr="0051575F">
              <w:rPr>
                <w:rFonts w:eastAsia="Times New Roman"/>
                <w:lang w:val="uk-UA" w:eastAsia="uk-UA"/>
              </w:rPr>
              <w:t xml:space="preserve">стосовно дотримання ними законодавства </w:t>
            </w:r>
            <w:r w:rsidR="00B94331" w:rsidRPr="0051575F">
              <w:rPr>
                <w:rFonts w:eastAsia="Times New Roman"/>
                <w:lang w:val="uk-UA" w:eastAsia="uk-UA"/>
              </w:rPr>
              <w:t>у галузі електроенергетики та сфері теплопостачання</w:t>
            </w:r>
            <w:r w:rsidR="00985CB5" w:rsidRPr="0051575F">
              <w:rPr>
                <w:rFonts w:eastAsia="Times New Roman"/>
                <w:lang w:val="uk-UA" w:eastAsia="uk-UA"/>
              </w:rPr>
              <w:t xml:space="preserve">, контроль за дотриманням якого віднесено до повноважень </w:t>
            </w:r>
            <w:proofErr w:type="spellStart"/>
            <w:r w:rsidR="00B94331" w:rsidRPr="0051575F">
              <w:rPr>
                <w:rFonts w:eastAsia="Times New Roman"/>
                <w:lang w:val="uk-UA" w:eastAsia="uk-UA"/>
              </w:rPr>
              <w:t>Держенергонагляду</w:t>
            </w:r>
            <w:proofErr w:type="spellEnd"/>
            <w:r w:rsidR="00985CB5" w:rsidRPr="0051575F">
              <w:rPr>
                <w:rFonts w:eastAsia="Times New Roman"/>
                <w:lang w:val="uk-UA" w:eastAsia="uk-UA"/>
              </w:rPr>
              <w:t xml:space="preserve">; </w:t>
            </w:r>
            <w:r w:rsidRPr="0051575F">
              <w:rPr>
                <w:rFonts w:eastAsia="Times New Roman"/>
                <w:lang w:val="uk-UA" w:eastAsia="uk-UA"/>
              </w:rPr>
              <w:t>гармонізує національне законодавство.</w:t>
            </w:r>
          </w:p>
        </w:tc>
        <w:tc>
          <w:tcPr>
            <w:tcW w:w="3319" w:type="dxa"/>
            <w:shd w:val="clear" w:color="auto" w:fill="auto"/>
          </w:tcPr>
          <w:p w14:paraId="3CB4DC32" w14:textId="50D6E21D" w:rsidR="0091519F" w:rsidRPr="0051575F" w:rsidRDefault="0091519F" w:rsidP="001D6F9F">
            <w:pPr>
              <w:spacing w:line="276" w:lineRule="auto"/>
              <w:rPr>
                <w:rFonts w:eastAsia="Times New Roman"/>
                <w:lang w:val="uk-UA"/>
              </w:rPr>
            </w:pPr>
            <w:r w:rsidRPr="0051575F">
              <w:rPr>
                <w:rFonts w:eastAsia="Times New Roman"/>
                <w:lang w:val="uk-UA" w:eastAsia="uk-UA"/>
              </w:rPr>
              <w:t xml:space="preserve">Здійснення державного контролю за додержанням законодавства </w:t>
            </w:r>
            <w:r w:rsidR="001872C6" w:rsidRPr="0051575F">
              <w:rPr>
                <w:rFonts w:eastAsia="Times New Roman"/>
                <w:lang w:val="uk-UA" w:eastAsia="uk-UA"/>
              </w:rPr>
              <w:t>у галузі електроенергетики та сфері теплопостачання,</w:t>
            </w:r>
            <w:r w:rsidR="00E2795A" w:rsidRPr="0051575F">
              <w:rPr>
                <w:rFonts w:eastAsia="Times New Roman"/>
                <w:lang w:val="uk-UA" w:eastAsia="uk-UA"/>
              </w:rPr>
              <w:t xml:space="preserve"> що пропонується </w:t>
            </w:r>
            <w:proofErr w:type="spellStart"/>
            <w:r w:rsidR="009C2C13">
              <w:rPr>
                <w:rFonts w:eastAsia="Times New Roman"/>
                <w:lang w:val="uk-UA" w:eastAsia="uk-UA"/>
              </w:rPr>
              <w:t>проєкт</w:t>
            </w:r>
            <w:r w:rsidR="00E2795A" w:rsidRPr="0051575F">
              <w:rPr>
                <w:rFonts w:eastAsia="Times New Roman"/>
                <w:lang w:val="uk-UA" w:eastAsia="uk-UA"/>
              </w:rPr>
              <w:t>ом</w:t>
            </w:r>
            <w:proofErr w:type="spellEnd"/>
            <w:r w:rsidR="00E2795A" w:rsidRPr="0051575F">
              <w:rPr>
                <w:rFonts w:eastAsia="Times New Roman"/>
                <w:lang w:val="uk-UA" w:eastAsia="uk-UA"/>
              </w:rPr>
              <w:t xml:space="preserve"> </w:t>
            </w:r>
            <w:proofErr w:type="spellStart"/>
            <w:r w:rsidR="00E2795A" w:rsidRPr="0051575F">
              <w:rPr>
                <w:rFonts w:eastAsia="Times New Roman"/>
                <w:lang w:val="uk-UA" w:eastAsia="uk-UA"/>
              </w:rPr>
              <w:t>акта</w:t>
            </w:r>
            <w:proofErr w:type="spellEnd"/>
            <w:r w:rsidRPr="0051575F">
              <w:rPr>
                <w:rFonts w:eastAsia="Times New Roman"/>
                <w:lang w:val="uk-UA" w:eastAsia="uk-UA"/>
              </w:rPr>
              <w:t xml:space="preserve">, </w:t>
            </w:r>
            <w:r w:rsidR="00944F3B" w:rsidRPr="0051575F">
              <w:rPr>
                <w:rFonts w:eastAsia="Times New Roman"/>
                <w:lang w:val="uk-UA" w:eastAsia="uk-UA"/>
              </w:rPr>
              <w:t>не призведе до виникнення додаткових витрат.</w:t>
            </w:r>
          </w:p>
          <w:p w14:paraId="01703EFD" w14:textId="77777777" w:rsidR="0091519F" w:rsidRPr="0051575F" w:rsidRDefault="0091519F" w:rsidP="001D6F9F">
            <w:pPr>
              <w:spacing w:line="276" w:lineRule="auto"/>
              <w:rPr>
                <w:rFonts w:eastAsia="Times New Roman"/>
                <w:lang w:val="uk-UA"/>
              </w:rPr>
            </w:pPr>
          </w:p>
        </w:tc>
      </w:tr>
      <w:tr w:rsidR="0051575F" w:rsidRPr="00750B42" w14:paraId="5CFB74F1" w14:textId="77777777" w:rsidTr="00BD7F79">
        <w:tc>
          <w:tcPr>
            <w:tcW w:w="2722" w:type="dxa"/>
            <w:shd w:val="clear" w:color="auto" w:fill="auto"/>
          </w:tcPr>
          <w:p w14:paraId="3E7FF7FC" w14:textId="77777777" w:rsidR="00EC1750" w:rsidRPr="0051575F" w:rsidRDefault="00EC1750" w:rsidP="001D6F9F">
            <w:pPr>
              <w:spacing w:line="276" w:lineRule="auto"/>
              <w:rPr>
                <w:rFonts w:eastAsia="Times New Roman"/>
                <w:lang w:val="uk-UA"/>
              </w:rPr>
            </w:pPr>
            <w:r w:rsidRPr="0051575F">
              <w:rPr>
                <w:rFonts w:eastAsia="Times New Roman"/>
                <w:lang w:val="uk-UA"/>
              </w:rPr>
              <w:t>Альтернатива 2:</w:t>
            </w:r>
          </w:p>
          <w:p w14:paraId="4E59657F" w14:textId="77777777" w:rsidR="00EC1750" w:rsidRPr="0051575F" w:rsidRDefault="00EC1750" w:rsidP="001D6F9F">
            <w:pPr>
              <w:spacing w:line="276" w:lineRule="auto"/>
              <w:jc w:val="both"/>
              <w:rPr>
                <w:rFonts w:eastAsia="Times New Roman"/>
                <w:lang w:val="uk-UA"/>
              </w:rPr>
            </w:pPr>
            <w:r w:rsidRPr="0051575F">
              <w:rPr>
                <w:rFonts w:eastAsia="Times New Roman"/>
                <w:lang w:val="uk-UA"/>
              </w:rPr>
              <w:t>Залишення існуючої на даний момент ситуації без змін</w:t>
            </w:r>
          </w:p>
        </w:tc>
        <w:tc>
          <w:tcPr>
            <w:tcW w:w="3561" w:type="dxa"/>
            <w:shd w:val="clear" w:color="auto" w:fill="auto"/>
          </w:tcPr>
          <w:p w14:paraId="5697A901" w14:textId="77777777" w:rsidR="00EC1750" w:rsidRPr="0051575F" w:rsidRDefault="00EC1750" w:rsidP="001D6F9F">
            <w:pPr>
              <w:spacing w:line="276" w:lineRule="auto"/>
              <w:rPr>
                <w:rFonts w:eastAsia="Times New Roman"/>
                <w:lang w:val="uk-UA"/>
              </w:rPr>
            </w:pPr>
            <w:r w:rsidRPr="0051575F">
              <w:rPr>
                <w:rFonts w:eastAsia="Times New Roman"/>
                <w:lang w:val="uk-UA"/>
              </w:rPr>
              <w:t>Вигоди відсутні, оскільки проблеми залишаться не вирішеними. </w:t>
            </w:r>
          </w:p>
          <w:p w14:paraId="133B6C79" w14:textId="77777777" w:rsidR="0016613B" w:rsidRPr="0051575F" w:rsidRDefault="0016613B" w:rsidP="001D6F9F">
            <w:pPr>
              <w:spacing w:line="276" w:lineRule="auto"/>
              <w:rPr>
                <w:rFonts w:eastAsia="Times New Roman"/>
                <w:lang w:val="uk-UA"/>
              </w:rPr>
            </w:pPr>
            <w:r w:rsidRPr="0051575F">
              <w:rPr>
                <w:rFonts w:eastAsia="Times New Roman"/>
                <w:lang w:val="uk-UA" w:eastAsia="uk-UA"/>
              </w:rPr>
              <w:t xml:space="preserve">Для суб’єктів господарювання, що дотримуються вимог законодавства </w:t>
            </w:r>
            <w:r w:rsidR="002E5856" w:rsidRPr="0051575F">
              <w:rPr>
                <w:rFonts w:eastAsia="Times New Roman"/>
                <w:lang w:val="uk-UA" w:eastAsia="uk-UA"/>
              </w:rPr>
              <w:t>у галузі електроенергетики та сфері теплопостачання</w:t>
            </w:r>
            <w:r w:rsidRPr="0051575F">
              <w:rPr>
                <w:rFonts w:eastAsia="Times New Roman"/>
                <w:lang w:val="uk-UA" w:eastAsia="uk-UA"/>
              </w:rPr>
              <w:t xml:space="preserve">, вигоди відсутні, оскільки не зменшуються до мінімально необхідного рівня кількість та </w:t>
            </w:r>
            <w:r w:rsidRPr="0051575F">
              <w:rPr>
                <w:rFonts w:eastAsia="Times New Roman"/>
                <w:lang w:val="uk-UA" w:eastAsia="uk-UA"/>
              </w:rPr>
              <w:lastRenderedPageBreak/>
              <w:t>частота</w:t>
            </w:r>
            <w:r w:rsidR="00B92D59" w:rsidRPr="0051575F">
              <w:rPr>
                <w:rFonts w:eastAsia="Times New Roman"/>
                <w:lang w:val="uk-UA" w:eastAsia="uk-UA"/>
              </w:rPr>
              <w:t xml:space="preserve"> </w:t>
            </w:r>
            <w:r w:rsidRPr="0051575F">
              <w:rPr>
                <w:rFonts w:eastAsia="Times New Roman"/>
                <w:lang w:val="uk-UA" w:eastAsia="uk-UA"/>
              </w:rPr>
              <w:t>планових заходів державного нагляду (контролю).</w:t>
            </w:r>
          </w:p>
        </w:tc>
        <w:tc>
          <w:tcPr>
            <w:tcW w:w="3319" w:type="dxa"/>
            <w:shd w:val="clear" w:color="auto" w:fill="auto"/>
          </w:tcPr>
          <w:p w14:paraId="69BD2104" w14:textId="77777777" w:rsidR="00FE40D6" w:rsidRPr="0051575F" w:rsidRDefault="00FE40D6" w:rsidP="001D6F9F">
            <w:pPr>
              <w:spacing w:line="276" w:lineRule="auto"/>
              <w:rPr>
                <w:rFonts w:eastAsia="Times New Roman"/>
                <w:lang w:val="uk-UA"/>
              </w:rPr>
            </w:pPr>
            <w:r w:rsidRPr="0051575F">
              <w:rPr>
                <w:rFonts w:eastAsia="Times New Roman"/>
                <w:lang w:val="uk-UA"/>
              </w:rPr>
              <w:lastRenderedPageBreak/>
              <w:t>Не передбачаються.</w:t>
            </w:r>
          </w:p>
          <w:p w14:paraId="17A88619" w14:textId="77777777" w:rsidR="00EC1750" w:rsidRPr="0051575F" w:rsidRDefault="00944F3B" w:rsidP="001D6F9F">
            <w:pPr>
              <w:spacing w:line="276" w:lineRule="auto"/>
              <w:rPr>
                <w:rFonts w:eastAsia="Times New Roman"/>
                <w:lang w:val="uk-UA"/>
              </w:rPr>
            </w:pPr>
            <w:r w:rsidRPr="0051575F">
              <w:rPr>
                <w:rFonts w:eastAsia="Times New Roman"/>
                <w:lang w:val="uk-UA"/>
              </w:rPr>
              <w:t xml:space="preserve">Подальше </w:t>
            </w:r>
            <w:proofErr w:type="spellStart"/>
            <w:r w:rsidRPr="0051575F">
              <w:rPr>
                <w:rFonts w:eastAsia="Times New Roman"/>
                <w:lang w:val="uk-UA"/>
              </w:rPr>
              <w:t>невирішення</w:t>
            </w:r>
            <w:proofErr w:type="spellEnd"/>
            <w:r w:rsidRPr="0051575F">
              <w:rPr>
                <w:rFonts w:eastAsia="Times New Roman"/>
                <w:lang w:val="uk-UA"/>
              </w:rPr>
              <w:t xml:space="preserve"> зазначеного питання призведе до неузгодженості національних нормативно-правових актів. </w:t>
            </w:r>
          </w:p>
          <w:p w14:paraId="372D3949" w14:textId="77777777" w:rsidR="00D4127C" w:rsidRPr="0051575F" w:rsidRDefault="00D4127C" w:rsidP="001D6F9F">
            <w:pPr>
              <w:spacing w:line="276" w:lineRule="auto"/>
              <w:rPr>
                <w:rFonts w:eastAsia="Times New Roman"/>
                <w:lang w:val="uk-UA"/>
              </w:rPr>
            </w:pPr>
          </w:p>
        </w:tc>
      </w:tr>
    </w:tbl>
    <w:p w14:paraId="35C23012" w14:textId="77777777" w:rsidR="004A1580" w:rsidRDefault="004A1580">
      <w:pPr>
        <w:rPr>
          <w:lang w:val="uk-UA"/>
        </w:rPr>
      </w:pPr>
    </w:p>
    <w:p w14:paraId="75BAF94E" w14:textId="77777777" w:rsidR="00CB44BD" w:rsidRPr="0051575F" w:rsidRDefault="00CB44BD">
      <w:pPr>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124"/>
        <w:gridCol w:w="3214"/>
      </w:tblGrid>
      <w:tr w:rsidR="0051575F" w:rsidRPr="0051575F" w14:paraId="2CAB4CA7" w14:textId="77777777" w:rsidTr="00C214D1">
        <w:tc>
          <w:tcPr>
            <w:tcW w:w="2264" w:type="dxa"/>
            <w:shd w:val="clear" w:color="auto" w:fill="auto"/>
          </w:tcPr>
          <w:p w14:paraId="20FB0C37" w14:textId="77777777" w:rsidR="00363846" w:rsidRPr="0051575F" w:rsidRDefault="00363846" w:rsidP="000C08E3">
            <w:pPr>
              <w:pStyle w:val="rvps2"/>
              <w:shd w:val="clear" w:color="auto" w:fill="FFFFFF"/>
              <w:spacing w:line="276" w:lineRule="auto"/>
              <w:ind w:firstLine="34"/>
              <w:jc w:val="center"/>
              <w:textAlignment w:val="baseline"/>
              <w:rPr>
                <w:b/>
                <w:lang w:val="uk-UA"/>
              </w:rPr>
            </w:pPr>
            <w:r w:rsidRPr="0051575F">
              <w:rPr>
                <w:b/>
                <w:lang w:val="uk-UA"/>
              </w:rPr>
              <w:t>Вид альтернативи</w:t>
            </w:r>
          </w:p>
        </w:tc>
        <w:tc>
          <w:tcPr>
            <w:tcW w:w="4124" w:type="dxa"/>
            <w:shd w:val="clear" w:color="auto" w:fill="auto"/>
          </w:tcPr>
          <w:p w14:paraId="5A105C97" w14:textId="77777777" w:rsidR="00363846" w:rsidRPr="0051575F" w:rsidRDefault="00363846" w:rsidP="000C08E3">
            <w:pPr>
              <w:pStyle w:val="rvps2"/>
              <w:shd w:val="clear" w:color="auto" w:fill="FFFFFF"/>
              <w:spacing w:line="276" w:lineRule="auto"/>
              <w:jc w:val="center"/>
              <w:textAlignment w:val="baseline"/>
              <w:rPr>
                <w:b/>
                <w:lang w:val="uk-UA"/>
              </w:rPr>
            </w:pPr>
            <w:r w:rsidRPr="0051575F">
              <w:rPr>
                <w:b/>
                <w:lang w:val="uk-UA"/>
              </w:rPr>
              <w:t>Сумарні витрати за альтернативами</w:t>
            </w:r>
          </w:p>
        </w:tc>
        <w:tc>
          <w:tcPr>
            <w:tcW w:w="3214" w:type="dxa"/>
            <w:shd w:val="clear" w:color="auto" w:fill="auto"/>
          </w:tcPr>
          <w:p w14:paraId="40BCF90D" w14:textId="77777777" w:rsidR="00363846" w:rsidRPr="0051575F" w:rsidRDefault="00363846" w:rsidP="000C08E3">
            <w:pPr>
              <w:pStyle w:val="rvps2"/>
              <w:shd w:val="clear" w:color="auto" w:fill="FFFFFF"/>
              <w:spacing w:line="276" w:lineRule="auto"/>
              <w:jc w:val="center"/>
              <w:textAlignment w:val="baseline"/>
              <w:rPr>
                <w:b/>
                <w:lang w:val="uk-UA"/>
              </w:rPr>
            </w:pPr>
            <w:r w:rsidRPr="0051575F">
              <w:rPr>
                <w:b/>
                <w:lang w:val="uk-UA"/>
              </w:rPr>
              <w:t>Сума витрат, гривень</w:t>
            </w:r>
          </w:p>
        </w:tc>
      </w:tr>
      <w:tr w:rsidR="0051575F" w:rsidRPr="0051575F" w14:paraId="4E8247DF" w14:textId="77777777" w:rsidTr="00C214D1">
        <w:tc>
          <w:tcPr>
            <w:tcW w:w="2264" w:type="dxa"/>
            <w:shd w:val="clear" w:color="auto" w:fill="auto"/>
          </w:tcPr>
          <w:p w14:paraId="42A86FD8" w14:textId="3846BCD5" w:rsidR="00363846" w:rsidRPr="0051575F" w:rsidRDefault="00363846" w:rsidP="000C08E3">
            <w:pPr>
              <w:pStyle w:val="rvps2"/>
              <w:shd w:val="clear" w:color="auto" w:fill="FFFFFF"/>
              <w:spacing w:line="276" w:lineRule="auto"/>
              <w:ind w:firstLine="34"/>
              <w:contextualSpacing/>
              <w:textAlignment w:val="baseline"/>
              <w:rPr>
                <w:lang w:val="uk-UA"/>
              </w:rPr>
            </w:pPr>
            <w:r w:rsidRPr="0051575F">
              <w:rPr>
                <w:lang w:val="uk-UA"/>
              </w:rPr>
              <w:t xml:space="preserve">Альтернатива 1: прийняття </w:t>
            </w:r>
            <w:proofErr w:type="spellStart"/>
            <w:r w:rsidR="009C2C13">
              <w:rPr>
                <w:lang w:val="uk-UA"/>
              </w:rPr>
              <w:t>проєкт</w:t>
            </w:r>
            <w:r w:rsidRPr="0051575F">
              <w:rPr>
                <w:lang w:val="uk-UA"/>
              </w:rPr>
              <w:t>у</w:t>
            </w:r>
            <w:proofErr w:type="spellEnd"/>
            <w:r w:rsidRPr="0051575F">
              <w:rPr>
                <w:lang w:val="uk-UA"/>
              </w:rPr>
              <w:t xml:space="preserve"> постанови Кабінету Міністрів України «Про затвердження критеріїв, за якими оцінюється ступінь ризику від провадження господарської діяльності в галузі електроенергетики та сфері теплопостачання і визначається періодичність здійснення </w:t>
            </w:r>
            <w:r w:rsidR="00147B5A">
              <w:rPr>
                <w:lang w:val="uk-UA"/>
              </w:rPr>
              <w:t xml:space="preserve">планових </w:t>
            </w:r>
            <w:r w:rsidRPr="0051575F">
              <w:rPr>
                <w:lang w:val="uk-UA"/>
              </w:rPr>
              <w:t>заходів державного нагляду (контролю) Державною інспекцією енергетичного нагляду та визнання такими, що втратили чинність, деяких постанов Кабінету Міністрів України»</w:t>
            </w:r>
          </w:p>
        </w:tc>
        <w:tc>
          <w:tcPr>
            <w:tcW w:w="4124" w:type="dxa"/>
            <w:shd w:val="clear" w:color="auto" w:fill="auto"/>
          </w:tcPr>
          <w:p w14:paraId="52D78EC1" w14:textId="77777777" w:rsidR="00363846" w:rsidRPr="0051575F" w:rsidRDefault="00363846" w:rsidP="000C08E3">
            <w:pPr>
              <w:spacing w:line="276" w:lineRule="auto"/>
              <w:ind w:firstLine="317"/>
              <w:contextualSpacing/>
              <w:jc w:val="both"/>
              <w:rPr>
                <w:lang w:val="uk-UA"/>
              </w:rPr>
            </w:pPr>
            <w:r w:rsidRPr="0051575F">
              <w:rPr>
                <w:rFonts w:eastAsia="Times New Roman"/>
                <w:shd w:val="clear" w:color="auto" w:fill="FFFFFF"/>
                <w:lang w:val="uk-UA"/>
              </w:rPr>
              <w:t>Витрати відсутні</w:t>
            </w:r>
          </w:p>
        </w:tc>
        <w:tc>
          <w:tcPr>
            <w:tcW w:w="3214" w:type="dxa"/>
            <w:shd w:val="clear" w:color="auto" w:fill="auto"/>
          </w:tcPr>
          <w:p w14:paraId="328C616C" w14:textId="77777777" w:rsidR="00363846" w:rsidRPr="0051575F" w:rsidRDefault="00297DBC" w:rsidP="000C08E3">
            <w:pPr>
              <w:spacing w:line="276" w:lineRule="auto"/>
              <w:ind w:firstLine="381"/>
              <w:rPr>
                <w:rFonts w:eastAsia="Times New Roman"/>
                <w:lang w:val="uk-UA"/>
              </w:rPr>
            </w:pPr>
            <w:r w:rsidRPr="0051575F">
              <w:rPr>
                <w:rFonts w:eastAsia="Times New Roman"/>
                <w:lang w:val="uk-UA"/>
              </w:rPr>
              <w:t>0 грн.</w:t>
            </w:r>
          </w:p>
        </w:tc>
      </w:tr>
      <w:tr w:rsidR="00297DBC" w:rsidRPr="0051575F" w14:paraId="55D839EF" w14:textId="77777777" w:rsidTr="00C214D1">
        <w:tc>
          <w:tcPr>
            <w:tcW w:w="2264" w:type="dxa"/>
            <w:shd w:val="clear" w:color="auto" w:fill="auto"/>
          </w:tcPr>
          <w:p w14:paraId="770C1578" w14:textId="77777777" w:rsidR="00363846" w:rsidRPr="0051575F" w:rsidRDefault="00363846" w:rsidP="000C08E3">
            <w:pPr>
              <w:pStyle w:val="rvps2"/>
              <w:shd w:val="clear" w:color="auto" w:fill="FFFFFF"/>
              <w:spacing w:line="276" w:lineRule="auto"/>
              <w:ind w:firstLine="34"/>
              <w:jc w:val="both"/>
              <w:textAlignment w:val="baseline"/>
              <w:rPr>
                <w:lang w:val="uk-UA"/>
              </w:rPr>
            </w:pPr>
            <w:r w:rsidRPr="0051575F">
              <w:rPr>
                <w:lang w:val="uk-UA"/>
              </w:rPr>
              <w:t xml:space="preserve">Альтернатива 2: Залишення існуючої на даний момент ситуації без змін </w:t>
            </w:r>
          </w:p>
        </w:tc>
        <w:tc>
          <w:tcPr>
            <w:tcW w:w="4124" w:type="dxa"/>
            <w:shd w:val="clear" w:color="auto" w:fill="auto"/>
          </w:tcPr>
          <w:p w14:paraId="25A0862B" w14:textId="77777777" w:rsidR="00363846" w:rsidRPr="0051575F" w:rsidRDefault="00363846" w:rsidP="000C08E3">
            <w:pPr>
              <w:pStyle w:val="a5"/>
              <w:spacing w:line="276" w:lineRule="auto"/>
              <w:ind w:firstLine="0"/>
            </w:pPr>
            <w:r w:rsidRPr="0051575F">
              <w:t>Витрати відсутні</w:t>
            </w:r>
          </w:p>
        </w:tc>
        <w:tc>
          <w:tcPr>
            <w:tcW w:w="3214" w:type="dxa"/>
            <w:shd w:val="clear" w:color="auto" w:fill="auto"/>
          </w:tcPr>
          <w:p w14:paraId="1A47F6EA" w14:textId="77777777" w:rsidR="00363846" w:rsidRPr="0051575F" w:rsidRDefault="00297DBC" w:rsidP="000C08E3">
            <w:pPr>
              <w:spacing w:line="276" w:lineRule="auto"/>
              <w:jc w:val="both"/>
              <w:rPr>
                <w:lang w:val="uk-UA"/>
              </w:rPr>
            </w:pPr>
            <w:r w:rsidRPr="0051575F">
              <w:rPr>
                <w:rFonts w:eastAsia="Times New Roman"/>
                <w:lang w:val="uk-UA"/>
              </w:rPr>
              <w:t>0 грн.</w:t>
            </w:r>
          </w:p>
        </w:tc>
      </w:tr>
    </w:tbl>
    <w:p w14:paraId="6333783D" w14:textId="77777777" w:rsidR="00062577" w:rsidRDefault="00062577" w:rsidP="001D6F9F">
      <w:pPr>
        <w:shd w:val="clear" w:color="auto" w:fill="FFFFFF"/>
        <w:spacing w:line="276" w:lineRule="auto"/>
        <w:ind w:right="-82" w:firstLine="567"/>
        <w:jc w:val="both"/>
        <w:rPr>
          <w:b/>
          <w:bCs/>
          <w:sz w:val="28"/>
          <w:szCs w:val="28"/>
          <w:shd w:val="clear" w:color="auto" w:fill="FFFFFF"/>
          <w:lang w:val="uk-UA"/>
        </w:rPr>
      </w:pPr>
    </w:p>
    <w:p w14:paraId="4898A403" w14:textId="77777777" w:rsidR="00CB44BD" w:rsidRPr="0051575F" w:rsidRDefault="00CB44BD" w:rsidP="001D6F9F">
      <w:pPr>
        <w:shd w:val="clear" w:color="auto" w:fill="FFFFFF"/>
        <w:spacing w:line="276" w:lineRule="auto"/>
        <w:ind w:right="-82" w:firstLine="567"/>
        <w:jc w:val="both"/>
        <w:rPr>
          <w:b/>
          <w:bCs/>
          <w:sz w:val="28"/>
          <w:szCs w:val="28"/>
          <w:shd w:val="clear" w:color="auto" w:fill="FFFFFF"/>
          <w:lang w:val="uk-UA"/>
        </w:rPr>
      </w:pPr>
    </w:p>
    <w:p w14:paraId="22D8D77D" w14:textId="77777777" w:rsidR="00D94D1C" w:rsidRPr="0051575F" w:rsidRDefault="00D94D1C" w:rsidP="001D6F9F">
      <w:pPr>
        <w:spacing w:line="276" w:lineRule="auto"/>
        <w:rPr>
          <w:b/>
          <w:bCs/>
          <w:sz w:val="28"/>
          <w:szCs w:val="28"/>
          <w:shd w:val="clear" w:color="auto" w:fill="FFFFFF"/>
          <w:lang w:val="uk-UA"/>
        </w:rPr>
      </w:pPr>
    </w:p>
    <w:p w14:paraId="73CFAC6D" w14:textId="77777777" w:rsidR="000628DF" w:rsidRPr="0051575F" w:rsidRDefault="000628DF" w:rsidP="001D6F9F">
      <w:pPr>
        <w:shd w:val="clear" w:color="auto" w:fill="FFFFFF"/>
        <w:spacing w:line="276" w:lineRule="auto"/>
        <w:ind w:right="-82" w:firstLine="567"/>
        <w:jc w:val="center"/>
        <w:rPr>
          <w:b/>
          <w:bCs/>
          <w:sz w:val="28"/>
          <w:szCs w:val="28"/>
          <w:shd w:val="clear" w:color="auto" w:fill="FFFFFF"/>
          <w:lang w:val="uk-UA"/>
        </w:rPr>
      </w:pPr>
      <w:r w:rsidRPr="0051575F">
        <w:rPr>
          <w:b/>
          <w:bCs/>
          <w:sz w:val="28"/>
          <w:szCs w:val="28"/>
          <w:shd w:val="clear" w:color="auto" w:fill="FFFFFF"/>
          <w:lang w:val="uk-UA"/>
        </w:rPr>
        <w:lastRenderedPageBreak/>
        <w:t>ІV. Вибір найбільш оптимального альтернативного способу досягнення цілей</w:t>
      </w:r>
    </w:p>
    <w:p w14:paraId="0116BF86" w14:textId="77777777" w:rsidR="00E443B5" w:rsidRDefault="00E443B5" w:rsidP="001D6F9F">
      <w:pPr>
        <w:shd w:val="clear" w:color="auto" w:fill="FFFFFF"/>
        <w:spacing w:line="276" w:lineRule="auto"/>
        <w:ind w:right="-82" w:firstLine="567"/>
        <w:jc w:val="both"/>
        <w:rPr>
          <w:b/>
          <w:bCs/>
          <w:sz w:val="20"/>
          <w:szCs w:val="20"/>
          <w:shd w:val="clear" w:color="auto" w:fill="FFFFFF"/>
          <w:lang w:val="uk-UA"/>
        </w:rPr>
      </w:pPr>
    </w:p>
    <w:p w14:paraId="60BE16C6" w14:textId="77777777" w:rsidR="00CB44BD" w:rsidRDefault="00CB44BD" w:rsidP="001D6F9F">
      <w:pPr>
        <w:shd w:val="clear" w:color="auto" w:fill="FFFFFF"/>
        <w:spacing w:line="276" w:lineRule="auto"/>
        <w:ind w:right="-82" w:firstLine="567"/>
        <w:jc w:val="both"/>
        <w:rPr>
          <w:b/>
          <w:bCs/>
          <w:sz w:val="20"/>
          <w:szCs w:val="20"/>
          <w:shd w:val="clear" w:color="auto" w:fill="FFFFFF"/>
          <w:lang w:val="uk-UA"/>
        </w:rPr>
      </w:pPr>
    </w:p>
    <w:p w14:paraId="777C9261" w14:textId="77777777" w:rsidR="00CB44BD" w:rsidRDefault="00CB44BD" w:rsidP="001D6F9F">
      <w:pPr>
        <w:shd w:val="clear" w:color="auto" w:fill="FFFFFF"/>
        <w:spacing w:line="276" w:lineRule="auto"/>
        <w:ind w:right="-82" w:firstLine="567"/>
        <w:jc w:val="both"/>
        <w:rPr>
          <w:b/>
          <w:bCs/>
          <w:sz w:val="20"/>
          <w:szCs w:val="20"/>
          <w:shd w:val="clear" w:color="auto" w:fill="FFFFFF"/>
          <w:lang w:val="uk-UA"/>
        </w:rPr>
      </w:pPr>
    </w:p>
    <w:p w14:paraId="0108807D" w14:textId="77777777" w:rsidR="00CB44BD" w:rsidRPr="0051575F" w:rsidRDefault="00CB44BD" w:rsidP="001D6F9F">
      <w:pPr>
        <w:shd w:val="clear" w:color="auto" w:fill="FFFFFF"/>
        <w:spacing w:line="276" w:lineRule="auto"/>
        <w:ind w:right="-82" w:firstLine="567"/>
        <w:jc w:val="both"/>
        <w:rPr>
          <w:b/>
          <w:bCs/>
          <w:sz w:val="20"/>
          <w:szCs w:val="20"/>
          <w:shd w:val="clear" w:color="auto" w:fill="FFFFFF"/>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108"/>
        <w:gridCol w:w="5291"/>
      </w:tblGrid>
      <w:tr w:rsidR="0051575F" w:rsidRPr="00750B42" w14:paraId="6EA8495F" w14:textId="77777777" w:rsidTr="0041663C">
        <w:tc>
          <w:tcPr>
            <w:tcW w:w="2204" w:type="dxa"/>
            <w:shd w:val="clear" w:color="auto" w:fill="auto"/>
          </w:tcPr>
          <w:p w14:paraId="3E35E898" w14:textId="77777777" w:rsidR="005266BA" w:rsidRPr="0051575F" w:rsidRDefault="00EC1750" w:rsidP="001D6F9F">
            <w:pPr>
              <w:spacing w:line="276" w:lineRule="auto"/>
              <w:jc w:val="center"/>
              <w:rPr>
                <w:rFonts w:eastAsia="Times New Roman"/>
                <w:b/>
                <w:lang w:val="uk-UA"/>
              </w:rPr>
            </w:pPr>
            <w:r w:rsidRPr="0051575F">
              <w:rPr>
                <w:rFonts w:eastAsia="Times New Roman"/>
                <w:b/>
                <w:lang w:val="uk-UA"/>
              </w:rPr>
              <w:t>Рейтинг результативності (досягнення цілей під час вирішення проблеми)</w:t>
            </w:r>
          </w:p>
          <w:p w14:paraId="3528D701" w14:textId="77777777" w:rsidR="005266BA" w:rsidRPr="0051575F" w:rsidRDefault="005266BA" w:rsidP="001D6F9F">
            <w:pPr>
              <w:spacing w:line="276" w:lineRule="auto"/>
              <w:jc w:val="center"/>
              <w:rPr>
                <w:rFonts w:eastAsia="Times New Roman"/>
                <w:b/>
                <w:lang w:val="uk-UA"/>
              </w:rPr>
            </w:pPr>
          </w:p>
        </w:tc>
        <w:tc>
          <w:tcPr>
            <w:tcW w:w="1979" w:type="dxa"/>
            <w:shd w:val="clear" w:color="auto" w:fill="auto"/>
          </w:tcPr>
          <w:p w14:paraId="7ACD00C0" w14:textId="77777777" w:rsidR="00EC1750" w:rsidRPr="0051575F" w:rsidRDefault="00EC1750" w:rsidP="001D6F9F">
            <w:pPr>
              <w:spacing w:line="276" w:lineRule="auto"/>
              <w:jc w:val="center"/>
              <w:rPr>
                <w:rFonts w:eastAsia="Times New Roman"/>
                <w:b/>
                <w:lang w:val="uk-UA"/>
              </w:rPr>
            </w:pPr>
            <w:r w:rsidRPr="0051575F">
              <w:rPr>
                <w:rFonts w:eastAsia="Times New Roman"/>
                <w:b/>
                <w:lang w:val="uk-UA"/>
              </w:rPr>
              <w:t>Бал результативності (за чотирибальною системою оцінки)</w:t>
            </w:r>
          </w:p>
        </w:tc>
        <w:tc>
          <w:tcPr>
            <w:tcW w:w="5396" w:type="dxa"/>
            <w:shd w:val="clear" w:color="auto" w:fill="auto"/>
          </w:tcPr>
          <w:p w14:paraId="25A2B937" w14:textId="77777777" w:rsidR="00EC1750" w:rsidRPr="0051575F" w:rsidRDefault="00EC1750" w:rsidP="00D94D1C">
            <w:pPr>
              <w:spacing w:line="276" w:lineRule="auto"/>
              <w:jc w:val="center"/>
              <w:rPr>
                <w:rFonts w:eastAsia="Times New Roman"/>
                <w:b/>
                <w:lang w:val="uk-UA"/>
              </w:rPr>
            </w:pPr>
            <w:r w:rsidRPr="0051575F">
              <w:rPr>
                <w:rFonts w:eastAsia="Times New Roman"/>
                <w:b/>
                <w:lang w:val="uk-UA"/>
              </w:rPr>
              <w:t>Коментарі щодо присвоєння відповідного бал</w:t>
            </w:r>
            <w:r w:rsidR="00D94D1C" w:rsidRPr="0051575F">
              <w:rPr>
                <w:rFonts w:eastAsia="Times New Roman"/>
                <w:b/>
                <w:lang w:val="uk-UA"/>
              </w:rPr>
              <w:t>у</w:t>
            </w:r>
          </w:p>
        </w:tc>
      </w:tr>
      <w:tr w:rsidR="0051575F" w:rsidRPr="00750B42" w14:paraId="5C0CA1A6" w14:textId="77777777" w:rsidTr="0041663C">
        <w:tc>
          <w:tcPr>
            <w:tcW w:w="2204" w:type="dxa"/>
            <w:shd w:val="clear" w:color="auto" w:fill="auto"/>
          </w:tcPr>
          <w:p w14:paraId="4913ABE9" w14:textId="77777777" w:rsidR="00EC1750" w:rsidRPr="0051575F" w:rsidRDefault="00EC1750" w:rsidP="001D6F9F">
            <w:pPr>
              <w:spacing w:line="276" w:lineRule="auto"/>
              <w:jc w:val="both"/>
              <w:rPr>
                <w:rFonts w:eastAsia="Times New Roman"/>
                <w:lang w:val="uk-UA"/>
              </w:rPr>
            </w:pPr>
            <w:r w:rsidRPr="0051575F">
              <w:rPr>
                <w:rFonts w:eastAsia="Times New Roman"/>
                <w:lang w:val="uk-UA"/>
              </w:rPr>
              <w:t>Альтернатива 1:</w:t>
            </w:r>
          </w:p>
          <w:p w14:paraId="12B6E0CA" w14:textId="4D08F636" w:rsidR="00EC1750" w:rsidRPr="0051575F" w:rsidRDefault="007B2876" w:rsidP="001D6F9F">
            <w:pPr>
              <w:spacing w:line="276" w:lineRule="auto"/>
              <w:jc w:val="both"/>
              <w:rPr>
                <w:rFonts w:eastAsia="Times New Roman"/>
                <w:lang w:val="uk-UA"/>
              </w:rPr>
            </w:pPr>
            <w:r w:rsidRPr="0051575F">
              <w:rPr>
                <w:rFonts w:eastAsia="Times New Roman"/>
                <w:lang w:val="uk-UA"/>
              </w:rPr>
              <w:t xml:space="preserve">прийняття </w:t>
            </w:r>
            <w:proofErr w:type="spellStart"/>
            <w:r w:rsidR="009C2C13">
              <w:rPr>
                <w:rFonts w:eastAsia="Times New Roman"/>
                <w:lang w:val="uk-UA"/>
              </w:rPr>
              <w:t>проєкт</w:t>
            </w:r>
            <w:r w:rsidRPr="0051575F">
              <w:rPr>
                <w:rFonts w:eastAsia="Times New Roman"/>
                <w:lang w:val="uk-UA"/>
              </w:rPr>
              <w:t>у</w:t>
            </w:r>
            <w:proofErr w:type="spellEnd"/>
            <w:r w:rsidRPr="0051575F">
              <w:rPr>
                <w:rFonts w:eastAsia="Times New Roman"/>
                <w:lang w:val="uk-UA"/>
              </w:rPr>
              <w:t xml:space="preserve"> постанови Кабінету Міністрів України «Про затвердження критеріїв, за якими оцінюється ступінь ризику від провадження господарської діяльності в галузі електроенергетики та сфері теплопостачання і визначається періодичність здійснення</w:t>
            </w:r>
            <w:r w:rsidR="00147B5A">
              <w:rPr>
                <w:rFonts w:eastAsia="Times New Roman"/>
                <w:lang w:val="uk-UA"/>
              </w:rPr>
              <w:t xml:space="preserve"> планових</w:t>
            </w:r>
            <w:r w:rsidRPr="0051575F">
              <w:rPr>
                <w:rFonts w:eastAsia="Times New Roman"/>
                <w:lang w:val="uk-UA"/>
              </w:rPr>
              <w:t xml:space="preserve"> заходів державного нагляду (контролю) Державною інспекцією енергетичного нагляду та визнання такими, що втратили чинність, деяких постанов Кабінету Міністрів України»</w:t>
            </w:r>
          </w:p>
        </w:tc>
        <w:tc>
          <w:tcPr>
            <w:tcW w:w="1979" w:type="dxa"/>
            <w:shd w:val="clear" w:color="auto" w:fill="auto"/>
          </w:tcPr>
          <w:p w14:paraId="0CDA6261" w14:textId="77777777" w:rsidR="00EC1750" w:rsidRPr="0051575F" w:rsidRDefault="00EC1750" w:rsidP="001D6F9F">
            <w:pPr>
              <w:spacing w:line="276" w:lineRule="auto"/>
              <w:jc w:val="center"/>
              <w:rPr>
                <w:rFonts w:eastAsia="Times New Roman"/>
                <w:lang w:val="uk-UA"/>
              </w:rPr>
            </w:pPr>
            <w:r w:rsidRPr="0051575F">
              <w:rPr>
                <w:rFonts w:eastAsia="Times New Roman"/>
                <w:lang w:val="uk-UA"/>
              </w:rPr>
              <w:t>4</w:t>
            </w:r>
          </w:p>
        </w:tc>
        <w:tc>
          <w:tcPr>
            <w:tcW w:w="5396" w:type="dxa"/>
            <w:shd w:val="clear" w:color="auto" w:fill="auto"/>
          </w:tcPr>
          <w:p w14:paraId="30FCD12C" w14:textId="77777777" w:rsidR="007A09B6" w:rsidRPr="0051575F" w:rsidRDefault="0044495F" w:rsidP="001D6F9F">
            <w:pPr>
              <w:spacing w:line="276" w:lineRule="auto"/>
              <w:ind w:firstLine="317"/>
              <w:contextualSpacing/>
              <w:jc w:val="both"/>
              <w:rPr>
                <w:rFonts w:eastAsia="Times New Roman"/>
                <w:lang w:val="uk-UA" w:eastAsia="uk-UA"/>
              </w:rPr>
            </w:pPr>
            <w:r w:rsidRPr="0051575F">
              <w:rPr>
                <w:rFonts w:eastAsia="Times New Roman"/>
                <w:lang w:val="uk-UA" w:eastAsia="uk-UA"/>
              </w:rPr>
              <w:t xml:space="preserve">Альтернатива забезпечує досягнення цілей державного регулювання, </w:t>
            </w:r>
            <w:r w:rsidR="007D55CE" w:rsidRPr="0051575F">
              <w:rPr>
                <w:rFonts w:eastAsia="Times New Roman"/>
                <w:lang w:val="uk-UA" w:eastAsia="uk-UA"/>
              </w:rPr>
              <w:t xml:space="preserve">повною мірою забезпечує розв’язання всіх проблем, що визначені у розділі I цього аналізу впливу регуляторного </w:t>
            </w:r>
            <w:proofErr w:type="spellStart"/>
            <w:r w:rsidR="007D55CE" w:rsidRPr="0051575F">
              <w:rPr>
                <w:rFonts w:eastAsia="Times New Roman"/>
                <w:lang w:val="uk-UA" w:eastAsia="uk-UA"/>
              </w:rPr>
              <w:t>акта</w:t>
            </w:r>
            <w:proofErr w:type="spellEnd"/>
            <w:r w:rsidR="007D55CE" w:rsidRPr="0051575F">
              <w:rPr>
                <w:rFonts w:eastAsia="Times New Roman"/>
                <w:lang w:val="uk-UA" w:eastAsia="uk-UA"/>
              </w:rPr>
              <w:t xml:space="preserve">. </w:t>
            </w:r>
          </w:p>
          <w:p w14:paraId="6DF145B8" w14:textId="77777777" w:rsidR="00B54FCF" w:rsidRPr="0051575F" w:rsidRDefault="00B54FCF" w:rsidP="001D6F9F">
            <w:pPr>
              <w:spacing w:line="276" w:lineRule="auto"/>
              <w:ind w:firstLine="317"/>
              <w:contextualSpacing/>
              <w:jc w:val="both"/>
              <w:rPr>
                <w:rFonts w:eastAsia="Times New Roman"/>
                <w:lang w:val="uk-UA"/>
              </w:rPr>
            </w:pPr>
          </w:p>
        </w:tc>
      </w:tr>
      <w:tr w:rsidR="0051575F" w:rsidRPr="00750B42" w14:paraId="24FBABCA" w14:textId="77777777" w:rsidTr="0041663C">
        <w:tc>
          <w:tcPr>
            <w:tcW w:w="2204" w:type="dxa"/>
            <w:shd w:val="clear" w:color="auto" w:fill="auto"/>
          </w:tcPr>
          <w:p w14:paraId="6BA2363E" w14:textId="77777777" w:rsidR="00EC1750" w:rsidRPr="0051575F" w:rsidRDefault="00EC1750" w:rsidP="001D6F9F">
            <w:pPr>
              <w:spacing w:line="276" w:lineRule="auto"/>
              <w:rPr>
                <w:rFonts w:eastAsia="Times New Roman"/>
                <w:lang w:val="uk-UA"/>
              </w:rPr>
            </w:pPr>
            <w:r w:rsidRPr="0051575F">
              <w:rPr>
                <w:rFonts w:eastAsia="Times New Roman"/>
                <w:lang w:val="uk-UA"/>
              </w:rPr>
              <w:lastRenderedPageBreak/>
              <w:t>Альтернатива 2:</w:t>
            </w:r>
          </w:p>
          <w:p w14:paraId="4907D9AA" w14:textId="77777777" w:rsidR="00EC1750" w:rsidRPr="0051575F" w:rsidRDefault="00EC1750" w:rsidP="001D6F9F">
            <w:pPr>
              <w:spacing w:line="276" w:lineRule="auto"/>
              <w:jc w:val="both"/>
              <w:rPr>
                <w:rFonts w:eastAsia="Times New Roman"/>
                <w:lang w:val="uk-UA"/>
              </w:rPr>
            </w:pPr>
            <w:r w:rsidRPr="0051575F">
              <w:rPr>
                <w:rFonts w:eastAsia="Times New Roman"/>
                <w:lang w:val="uk-UA"/>
              </w:rPr>
              <w:t>Залишення існуючої на даний момент ситуації без змін</w:t>
            </w:r>
          </w:p>
        </w:tc>
        <w:tc>
          <w:tcPr>
            <w:tcW w:w="1979" w:type="dxa"/>
            <w:shd w:val="clear" w:color="auto" w:fill="auto"/>
          </w:tcPr>
          <w:p w14:paraId="4D363363" w14:textId="77777777" w:rsidR="00EC1750" w:rsidRPr="0051575F" w:rsidRDefault="00EC1750" w:rsidP="001D6F9F">
            <w:pPr>
              <w:spacing w:line="276" w:lineRule="auto"/>
              <w:jc w:val="center"/>
              <w:rPr>
                <w:rFonts w:eastAsia="Times New Roman"/>
                <w:lang w:val="uk-UA"/>
              </w:rPr>
            </w:pPr>
            <w:r w:rsidRPr="0051575F">
              <w:rPr>
                <w:rFonts w:eastAsia="Times New Roman"/>
                <w:lang w:val="uk-UA"/>
              </w:rPr>
              <w:t>1</w:t>
            </w:r>
          </w:p>
        </w:tc>
        <w:tc>
          <w:tcPr>
            <w:tcW w:w="5396" w:type="dxa"/>
            <w:shd w:val="clear" w:color="auto" w:fill="auto"/>
          </w:tcPr>
          <w:p w14:paraId="335E34A2" w14:textId="77777777" w:rsidR="00EC1750" w:rsidRPr="0051575F" w:rsidRDefault="00EC1750" w:rsidP="001D6F9F">
            <w:pPr>
              <w:spacing w:line="276" w:lineRule="auto"/>
              <w:jc w:val="both"/>
              <w:rPr>
                <w:rFonts w:eastAsia="Times New Roman"/>
                <w:lang w:val="uk-UA"/>
              </w:rPr>
            </w:pPr>
            <w:r w:rsidRPr="0051575F">
              <w:rPr>
                <w:rFonts w:eastAsia="Times New Roman"/>
                <w:lang w:val="uk-UA"/>
              </w:rPr>
              <w:t>У разі залишення існуючої на даний момент ситуації без змін</w:t>
            </w:r>
            <w:r w:rsidR="005266BA" w:rsidRPr="0051575F">
              <w:rPr>
                <w:rFonts w:eastAsia="Times New Roman"/>
                <w:lang w:val="uk-UA"/>
              </w:rPr>
              <w:t>,</w:t>
            </w:r>
            <w:r w:rsidRPr="0051575F">
              <w:rPr>
                <w:rFonts w:eastAsia="Times New Roman"/>
                <w:lang w:val="uk-UA"/>
              </w:rPr>
              <w:t xml:space="preserve"> проблема продовжуватиме існувати, що не забезпечить досягнення поставленої мети.</w:t>
            </w:r>
          </w:p>
          <w:p w14:paraId="4015F242" w14:textId="77777777" w:rsidR="007A09B6" w:rsidRPr="0051575F" w:rsidRDefault="007A09B6" w:rsidP="001D6F9F">
            <w:pPr>
              <w:spacing w:line="276" w:lineRule="auto"/>
              <w:jc w:val="both"/>
              <w:rPr>
                <w:rFonts w:eastAsia="Times New Roman"/>
                <w:lang w:val="uk-UA"/>
              </w:rPr>
            </w:pPr>
          </w:p>
        </w:tc>
      </w:tr>
    </w:tbl>
    <w:p w14:paraId="65FA27BE" w14:textId="77777777" w:rsidR="0041663C" w:rsidRPr="0051575F" w:rsidRDefault="0041663C" w:rsidP="001D6F9F">
      <w:pPr>
        <w:spacing w:before="100" w:beforeAutospacing="1" w:after="100" w:afterAutospacing="1" w:line="276" w:lineRule="auto"/>
        <w:jc w:val="center"/>
        <w:rPr>
          <w:rFonts w:eastAsia="Times New Roman"/>
          <w:lang w:val="uk-UA"/>
        </w:rPr>
        <w:sectPr w:rsidR="0041663C" w:rsidRPr="0051575F" w:rsidSect="00973DFD">
          <w:headerReference w:type="even" r:id="rId8"/>
          <w:headerReference w:type="default" r:id="rId9"/>
          <w:pgSz w:w="11906" w:h="16838"/>
          <w:pgMar w:top="1135" w:right="566" w:bottom="851" w:left="1620" w:header="709" w:footer="709" w:gutter="0"/>
          <w:cols w:space="708"/>
          <w:titlePg/>
          <w:docGrid w:linePitch="360"/>
        </w:sect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56"/>
        <w:gridCol w:w="3388"/>
        <w:gridCol w:w="2156"/>
        <w:gridCol w:w="1902"/>
      </w:tblGrid>
      <w:tr w:rsidR="0051575F" w:rsidRPr="00750B42" w14:paraId="77A103EA" w14:textId="77777777" w:rsidTr="0041663C">
        <w:tc>
          <w:tcPr>
            <w:tcW w:w="2058" w:type="dxa"/>
            <w:tcBorders>
              <w:top w:val="outset" w:sz="6" w:space="0" w:color="auto"/>
              <w:left w:val="outset" w:sz="6" w:space="0" w:color="auto"/>
              <w:bottom w:val="outset" w:sz="6" w:space="0" w:color="auto"/>
              <w:right w:val="outset" w:sz="6" w:space="0" w:color="auto"/>
            </w:tcBorders>
            <w:hideMark/>
          </w:tcPr>
          <w:p w14:paraId="48D3892D" w14:textId="77777777" w:rsidR="00F63FEE" w:rsidRPr="0051575F" w:rsidRDefault="00F63FEE" w:rsidP="001D6F9F">
            <w:pPr>
              <w:spacing w:before="100" w:beforeAutospacing="1" w:after="100" w:afterAutospacing="1" w:line="276" w:lineRule="auto"/>
              <w:jc w:val="center"/>
              <w:rPr>
                <w:rFonts w:eastAsia="Times New Roman"/>
                <w:b/>
                <w:lang w:val="uk-UA"/>
              </w:rPr>
            </w:pPr>
            <w:r w:rsidRPr="0051575F">
              <w:rPr>
                <w:rFonts w:eastAsia="Times New Roman"/>
                <w:b/>
                <w:lang w:val="uk-UA"/>
              </w:rPr>
              <w:t>Рейтинг результативності</w:t>
            </w:r>
          </w:p>
        </w:tc>
        <w:tc>
          <w:tcPr>
            <w:tcW w:w="3525" w:type="dxa"/>
            <w:tcBorders>
              <w:top w:val="single" w:sz="4" w:space="0" w:color="auto"/>
              <w:left w:val="single" w:sz="4" w:space="0" w:color="auto"/>
              <w:bottom w:val="single" w:sz="4" w:space="0" w:color="auto"/>
              <w:right w:val="single" w:sz="4" w:space="0" w:color="auto"/>
            </w:tcBorders>
            <w:hideMark/>
          </w:tcPr>
          <w:p w14:paraId="7642656D" w14:textId="77777777" w:rsidR="00F63FEE" w:rsidRPr="0051575F" w:rsidRDefault="00F63FEE" w:rsidP="001D6F9F">
            <w:pPr>
              <w:spacing w:before="100" w:beforeAutospacing="1" w:after="100" w:afterAutospacing="1" w:line="276" w:lineRule="auto"/>
              <w:jc w:val="center"/>
              <w:rPr>
                <w:rFonts w:eastAsia="Times New Roman"/>
                <w:b/>
                <w:lang w:val="uk-UA"/>
              </w:rPr>
            </w:pPr>
            <w:r w:rsidRPr="0051575F">
              <w:rPr>
                <w:rFonts w:eastAsia="Times New Roman"/>
                <w:b/>
                <w:lang w:val="uk-UA"/>
              </w:rPr>
              <w:t>Вигоди (підсумок)</w:t>
            </w:r>
          </w:p>
        </w:tc>
        <w:tc>
          <w:tcPr>
            <w:tcW w:w="2143" w:type="dxa"/>
            <w:tcBorders>
              <w:top w:val="single" w:sz="4" w:space="0" w:color="auto"/>
              <w:left w:val="single" w:sz="4" w:space="0" w:color="auto"/>
              <w:bottom w:val="single" w:sz="4" w:space="0" w:color="auto"/>
              <w:right w:val="single" w:sz="4" w:space="0" w:color="auto"/>
            </w:tcBorders>
            <w:hideMark/>
          </w:tcPr>
          <w:p w14:paraId="6C39FDE2" w14:textId="77777777" w:rsidR="00F63FEE" w:rsidRPr="0051575F" w:rsidRDefault="00F63FEE" w:rsidP="001D6F9F">
            <w:pPr>
              <w:spacing w:before="100" w:beforeAutospacing="1" w:after="100" w:afterAutospacing="1" w:line="276" w:lineRule="auto"/>
              <w:jc w:val="center"/>
              <w:rPr>
                <w:rFonts w:eastAsia="Times New Roman"/>
                <w:b/>
                <w:lang w:val="uk-UA"/>
              </w:rPr>
            </w:pPr>
            <w:r w:rsidRPr="0051575F">
              <w:rPr>
                <w:rFonts w:eastAsia="Times New Roman"/>
                <w:b/>
                <w:lang w:val="uk-UA"/>
              </w:rPr>
              <w:t>Витрати (підсумок)</w:t>
            </w:r>
          </w:p>
        </w:tc>
        <w:tc>
          <w:tcPr>
            <w:tcW w:w="1876" w:type="dxa"/>
            <w:tcBorders>
              <w:top w:val="single" w:sz="4" w:space="0" w:color="auto"/>
              <w:left w:val="single" w:sz="4" w:space="0" w:color="auto"/>
              <w:bottom w:val="single" w:sz="4" w:space="0" w:color="auto"/>
              <w:right w:val="single" w:sz="4" w:space="0" w:color="auto"/>
            </w:tcBorders>
            <w:hideMark/>
          </w:tcPr>
          <w:p w14:paraId="07CDA78A" w14:textId="77777777" w:rsidR="00F63FEE" w:rsidRPr="0051575F" w:rsidRDefault="0041663C" w:rsidP="001D6F9F">
            <w:pPr>
              <w:spacing w:before="100" w:beforeAutospacing="1" w:after="100" w:afterAutospacing="1" w:line="276" w:lineRule="auto"/>
              <w:jc w:val="center"/>
              <w:rPr>
                <w:rFonts w:eastAsia="Times New Roman"/>
                <w:b/>
                <w:lang w:val="uk-UA"/>
              </w:rPr>
            </w:pPr>
            <w:r w:rsidRPr="0051575F">
              <w:rPr>
                <w:rFonts w:eastAsia="Times New Roman"/>
                <w:b/>
                <w:lang w:val="uk-UA"/>
              </w:rPr>
              <w:t>Обґрунтування</w:t>
            </w:r>
            <w:r w:rsidR="00F63FEE" w:rsidRPr="0051575F">
              <w:rPr>
                <w:rFonts w:eastAsia="Times New Roman"/>
                <w:b/>
                <w:lang w:val="uk-UA"/>
              </w:rPr>
              <w:t xml:space="preserve"> відповідного місця альтернативи у рейтингу</w:t>
            </w:r>
          </w:p>
        </w:tc>
      </w:tr>
      <w:tr w:rsidR="0051575F" w:rsidRPr="0051575F" w14:paraId="2D7A227E" w14:textId="77777777" w:rsidTr="0041663C">
        <w:tc>
          <w:tcPr>
            <w:tcW w:w="2058" w:type="dxa"/>
            <w:tcBorders>
              <w:top w:val="single" w:sz="4" w:space="0" w:color="auto"/>
              <w:left w:val="single" w:sz="4" w:space="0" w:color="auto"/>
              <w:bottom w:val="single" w:sz="4" w:space="0" w:color="auto"/>
              <w:right w:val="single" w:sz="4" w:space="0" w:color="auto"/>
            </w:tcBorders>
            <w:hideMark/>
          </w:tcPr>
          <w:p w14:paraId="77201D58" w14:textId="39FA2F06" w:rsidR="003E2A2D" w:rsidRPr="0051575F" w:rsidRDefault="003E2A2D" w:rsidP="00B54FCF">
            <w:pPr>
              <w:spacing w:before="100" w:beforeAutospacing="1" w:after="100" w:afterAutospacing="1" w:line="276" w:lineRule="auto"/>
              <w:rPr>
                <w:rFonts w:eastAsia="Times New Roman"/>
                <w:lang w:val="uk-UA"/>
              </w:rPr>
            </w:pPr>
            <w:r w:rsidRPr="0051575F">
              <w:rPr>
                <w:rFonts w:eastAsia="Times New Roman"/>
                <w:lang w:val="uk-UA"/>
              </w:rPr>
              <w:t xml:space="preserve">Альтернатива 1: </w:t>
            </w:r>
            <w:r w:rsidR="007B2876" w:rsidRPr="0051575F">
              <w:rPr>
                <w:rFonts w:eastAsia="Times New Roman"/>
                <w:lang w:val="uk-UA"/>
              </w:rPr>
              <w:t xml:space="preserve">прийняття </w:t>
            </w:r>
            <w:proofErr w:type="spellStart"/>
            <w:r w:rsidR="009C2C13">
              <w:rPr>
                <w:rFonts w:eastAsia="Times New Roman"/>
                <w:lang w:val="uk-UA"/>
              </w:rPr>
              <w:t>проєкт</w:t>
            </w:r>
            <w:r w:rsidR="007B2876" w:rsidRPr="0051575F">
              <w:rPr>
                <w:rFonts w:eastAsia="Times New Roman"/>
                <w:lang w:val="uk-UA"/>
              </w:rPr>
              <w:t>у</w:t>
            </w:r>
            <w:proofErr w:type="spellEnd"/>
            <w:r w:rsidR="007B2876" w:rsidRPr="0051575F">
              <w:rPr>
                <w:rFonts w:eastAsia="Times New Roman"/>
                <w:lang w:val="uk-UA"/>
              </w:rPr>
              <w:t xml:space="preserve"> постанови Кабінету Міністрів України «Про затвердження критеріїв, за якими оцінюється ступінь ризику від провадження господарської діяльності в галузі електроенергетики та сфері теплопостачання і визначається періодичність здійснення</w:t>
            </w:r>
            <w:r w:rsidR="00147B5A">
              <w:rPr>
                <w:rFonts w:eastAsia="Times New Roman"/>
                <w:lang w:val="uk-UA"/>
              </w:rPr>
              <w:t xml:space="preserve"> планових</w:t>
            </w:r>
            <w:r w:rsidR="007B2876" w:rsidRPr="0051575F">
              <w:rPr>
                <w:rFonts w:eastAsia="Times New Roman"/>
                <w:lang w:val="uk-UA"/>
              </w:rPr>
              <w:t xml:space="preserve"> заходів державного нагляду (контролю) Державною інспекцією енергетичного нагляду та визнання такими, що втратили чинність, деяких постанов Кабінету Міністрів України»</w:t>
            </w:r>
          </w:p>
        </w:tc>
        <w:tc>
          <w:tcPr>
            <w:tcW w:w="3525" w:type="dxa"/>
            <w:tcBorders>
              <w:top w:val="single" w:sz="4" w:space="0" w:color="auto"/>
              <w:left w:val="single" w:sz="4" w:space="0" w:color="auto"/>
              <w:bottom w:val="single" w:sz="4" w:space="0" w:color="auto"/>
              <w:right w:val="single" w:sz="4" w:space="0" w:color="auto"/>
            </w:tcBorders>
          </w:tcPr>
          <w:p w14:paraId="2612A431" w14:textId="77777777" w:rsidR="008539B5" w:rsidRPr="0051575F" w:rsidRDefault="001F4D55" w:rsidP="001D6F9F">
            <w:pPr>
              <w:spacing w:line="276" w:lineRule="auto"/>
              <w:jc w:val="both"/>
              <w:rPr>
                <w:u w:val="single"/>
                <w:lang w:val="uk-UA"/>
              </w:rPr>
            </w:pPr>
            <w:r w:rsidRPr="0051575F">
              <w:rPr>
                <w:u w:val="single"/>
                <w:lang w:val="uk-UA"/>
              </w:rPr>
              <w:t>Вигоди для держави.</w:t>
            </w:r>
          </w:p>
          <w:p w14:paraId="3431C2F2" w14:textId="42A5EFE5" w:rsidR="001F4D55" w:rsidRPr="0051575F" w:rsidRDefault="001F4D55" w:rsidP="001D6F9F">
            <w:pPr>
              <w:spacing w:line="276" w:lineRule="auto"/>
              <w:jc w:val="both"/>
              <w:rPr>
                <w:lang w:val="uk-UA"/>
              </w:rPr>
            </w:pPr>
            <w:r w:rsidRPr="0051575F">
              <w:rPr>
                <w:lang w:val="uk-UA"/>
              </w:rPr>
              <w:t xml:space="preserve">Прийняття </w:t>
            </w:r>
            <w:proofErr w:type="spellStart"/>
            <w:r w:rsidR="009C2C13">
              <w:rPr>
                <w:lang w:val="uk-UA"/>
              </w:rPr>
              <w:t>проєкт</w:t>
            </w:r>
            <w:r w:rsidRPr="0051575F">
              <w:rPr>
                <w:lang w:val="uk-UA"/>
              </w:rPr>
              <w:t>у</w:t>
            </w:r>
            <w:proofErr w:type="spellEnd"/>
            <w:r w:rsidRPr="0051575F">
              <w:rPr>
                <w:lang w:val="uk-UA"/>
              </w:rPr>
              <w:t xml:space="preserve"> </w:t>
            </w:r>
            <w:proofErr w:type="spellStart"/>
            <w:r w:rsidRPr="0051575F">
              <w:rPr>
                <w:lang w:val="uk-UA"/>
              </w:rPr>
              <w:t>акта</w:t>
            </w:r>
            <w:proofErr w:type="spellEnd"/>
            <w:r w:rsidRPr="0051575F">
              <w:rPr>
                <w:lang w:val="uk-UA"/>
              </w:rPr>
              <w:t xml:space="preserve"> забезпечить удосконалення державного нагляду (контролю) за додержанням  суб’єктами господарювання законодавства </w:t>
            </w:r>
            <w:r w:rsidR="0041663C" w:rsidRPr="0051575F">
              <w:rPr>
                <w:rFonts w:eastAsia="Times New Roman"/>
                <w:lang w:val="uk-UA" w:eastAsia="uk-UA"/>
              </w:rPr>
              <w:t>у галузі електроенергетики та сфері теплопостачання</w:t>
            </w:r>
            <w:r w:rsidRPr="0051575F">
              <w:rPr>
                <w:lang w:val="uk-UA"/>
              </w:rPr>
              <w:t xml:space="preserve">; забезпечить єдиний підхід до планування перевірок;  сприятиме прозорості діяльності посадових осіб </w:t>
            </w:r>
            <w:proofErr w:type="spellStart"/>
            <w:r w:rsidR="0041663C" w:rsidRPr="0051575F">
              <w:rPr>
                <w:lang w:val="uk-UA"/>
              </w:rPr>
              <w:t>Держенергонагляду</w:t>
            </w:r>
            <w:proofErr w:type="spellEnd"/>
            <w:r w:rsidRPr="0051575F">
              <w:rPr>
                <w:lang w:val="uk-UA"/>
              </w:rPr>
              <w:t xml:space="preserve"> та прийнятих ними рішень за наслідками перевірок з метою запобігання корупційних ризиків; сприятиме зниженню державного тиску на суб’єктів господарювання шляхом зменшення кількості проведених заходів державного нагляду (контролю).</w:t>
            </w:r>
          </w:p>
          <w:p w14:paraId="74107AE7" w14:textId="77777777" w:rsidR="001F4D55" w:rsidRPr="0051575F" w:rsidRDefault="001F4D55" w:rsidP="001D6F9F">
            <w:pPr>
              <w:spacing w:line="276" w:lineRule="auto"/>
              <w:jc w:val="both"/>
              <w:rPr>
                <w:u w:val="single"/>
                <w:lang w:val="uk-UA"/>
              </w:rPr>
            </w:pPr>
            <w:r w:rsidRPr="0051575F">
              <w:rPr>
                <w:u w:val="single"/>
                <w:lang w:val="uk-UA"/>
              </w:rPr>
              <w:t>Вигоди для суб’єктів господарювання.</w:t>
            </w:r>
          </w:p>
          <w:p w14:paraId="3747EA94" w14:textId="77777777" w:rsidR="001F4D55" w:rsidRPr="0051575F" w:rsidRDefault="0044495F" w:rsidP="00CE1C31">
            <w:pPr>
              <w:spacing w:line="276" w:lineRule="auto"/>
              <w:ind w:firstLine="317"/>
              <w:rPr>
                <w:lang w:val="uk-UA"/>
              </w:rPr>
            </w:pPr>
            <w:r w:rsidRPr="0051575F">
              <w:rPr>
                <w:rFonts w:eastAsia="Times New Roman"/>
                <w:lang w:val="uk-UA" w:eastAsia="uk-UA"/>
              </w:rPr>
              <w:t xml:space="preserve">Зменшує взаємні ризики корупційного підходу контролюючих органів і суб’єктів господарювання, забезпечує прозорість включення суб’єктів господарювання до плану </w:t>
            </w:r>
            <w:r w:rsidRPr="0051575F">
              <w:rPr>
                <w:rFonts w:eastAsia="Times New Roman"/>
                <w:lang w:val="uk-UA" w:eastAsia="uk-UA"/>
              </w:rPr>
              <w:lastRenderedPageBreak/>
              <w:t>заходів, дозволяє упередити виникнення ризиків виникнення у суб’єктів господарювання, пов’язані з виробництвом, передачею та споживанням електричної енергії.</w:t>
            </w:r>
          </w:p>
        </w:tc>
        <w:tc>
          <w:tcPr>
            <w:tcW w:w="2143" w:type="dxa"/>
            <w:tcBorders>
              <w:top w:val="single" w:sz="4" w:space="0" w:color="auto"/>
              <w:left w:val="single" w:sz="4" w:space="0" w:color="auto"/>
              <w:bottom w:val="single" w:sz="4" w:space="0" w:color="auto"/>
              <w:right w:val="single" w:sz="4" w:space="0" w:color="auto"/>
            </w:tcBorders>
          </w:tcPr>
          <w:p w14:paraId="5CFEF094" w14:textId="24C98E00" w:rsidR="003E2A2D" w:rsidRPr="0051575F" w:rsidRDefault="003E2A2D" w:rsidP="001D6F9F">
            <w:pPr>
              <w:spacing w:line="276" w:lineRule="auto"/>
              <w:rPr>
                <w:lang w:val="uk-UA"/>
              </w:rPr>
            </w:pPr>
            <w:r w:rsidRPr="0051575F">
              <w:rPr>
                <w:lang w:val="uk-UA"/>
              </w:rPr>
              <w:lastRenderedPageBreak/>
              <w:t>Додатков</w:t>
            </w:r>
            <w:r w:rsidR="0041663C" w:rsidRPr="0051575F">
              <w:rPr>
                <w:lang w:val="uk-UA"/>
              </w:rPr>
              <w:t>их</w:t>
            </w:r>
            <w:r w:rsidRPr="0051575F">
              <w:rPr>
                <w:lang w:val="uk-UA"/>
              </w:rPr>
              <w:t xml:space="preserve"> матеріальн</w:t>
            </w:r>
            <w:r w:rsidR="0041663C" w:rsidRPr="0051575F">
              <w:rPr>
                <w:lang w:val="uk-UA"/>
              </w:rPr>
              <w:t>их</w:t>
            </w:r>
            <w:r w:rsidRPr="0051575F">
              <w:rPr>
                <w:lang w:val="uk-UA"/>
              </w:rPr>
              <w:t xml:space="preserve"> витрат на реалізацію положень  </w:t>
            </w:r>
            <w:proofErr w:type="spellStart"/>
            <w:r w:rsidR="009C2C13">
              <w:rPr>
                <w:lang w:val="uk-UA"/>
              </w:rPr>
              <w:t>проєкт</w:t>
            </w:r>
            <w:r w:rsidR="003A1DBA" w:rsidRPr="0051575F">
              <w:rPr>
                <w:lang w:val="uk-UA"/>
              </w:rPr>
              <w:t>у</w:t>
            </w:r>
            <w:proofErr w:type="spellEnd"/>
            <w:r w:rsidR="003A1DBA" w:rsidRPr="0051575F">
              <w:rPr>
                <w:lang w:val="uk-UA"/>
              </w:rPr>
              <w:t xml:space="preserve"> </w:t>
            </w:r>
            <w:proofErr w:type="spellStart"/>
            <w:r w:rsidR="003A1DBA" w:rsidRPr="0051575F">
              <w:rPr>
                <w:lang w:val="uk-UA"/>
              </w:rPr>
              <w:t>акта</w:t>
            </w:r>
            <w:proofErr w:type="spellEnd"/>
            <w:r w:rsidR="00593BDE" w:rsidRPr="0051575F">
              <w:rPr>
                <w:lang w:val="uk-UA"/>
              </w:rPr>
              <w:t xml:space="preserve"> не </w:t>
            </w:r>
            <w:r w:rsidR="0041663C" w:rsidRPr="0051575F">
              <w:rPr>
                <w:lang w:val="uk-UA"/>
              </w:rPr>
              <w:t>передбачається</w:t>
            </w:r>
            <w:r w:rsidR="00593BDE" w:rsidRPr="0051575F">
              <w:rPr>
                <w:lang w:val="uk-UA"/>
              </w:rPr>
              <w:t>.</w:t>
            </w:r>
            <w:r w:rsidRPr="0051575F">
              <w:rPr>
                <w:lang w:val="uk-UA"/>
              </w:rPr>
              <w:t xml:space="preserve"> </w:t>
            </w:r>
          </w:p>
          <w:p w14:paraId="3B603C2D" w14:textId="77777777" w:rsidR="003E2A2D" w:rsidRPr="0051575F" w:rsidRDefault="003E2A2D" w:rsidP="001D6F9F">
            <w:pPr>
              <w:spacing w:line="276" w:lineRule="auto"/>
              <w:rPr>
                <w:lang w:val="uk-UA"/>
              </w:rPr>
            </w:pPr>
          </w:p>
        </w:tc>
        <w:tc>
          <w:tcPr>
            <w:tcW w:w="1876" w:type="dxa"/>
            <w:tcBorders>
              <w:top w:val="single" w:sz="4" w:space="0" w:color="auto"/>
              <w:left w:val="single" w:sz="4" w:space="0" w:color="auto"/>
              <w:bottom w:val="single" w:sz="4" w:space="0" w:color="auto"/>
              <w:right w:val="single" w:sz="4" w:space="0" w:color="auto"/>
            </w:tcBorders>
            <w:hideMark/>
          </w:tcPr>
          <w:p w14:paraId="75F15F17" w14:textId="77777777" w:rsidR="0044495F" w:rsidRPr="0051575F" w:rsidRDefault="0044495F" w:rsidP="0044495F">
            <w:pPr>
              <w:spacing w:line="276" w:lineRule="auto"/>
              <w:ind w:firstLine="317"/>
              <w:contextualSpacing/>
              <w:rPr>
                <w:rFonts w:eastAsia="Times New Roman"/>
                <w:lang w:val="uk-UA"/>
              </w:rPr>
            </w:pPr>
            <w:r w:rsidRPr="0051575F">
              <w:rPr>
                <w:rFonts w:eastAsia="Times New Roman"/>
                <w:lang w:val="uk-UA"/>
              </w:rPr>
              <w:t>Спрощує державне регулювання за умови уніфікованого підходу до здійснення заходів з державного енергетичного нагляду (контролю), забезпечення аналізу ефективності здійснення заходів з державного енергетичного нагляду (контролю).</w:t>
            </w:r>
          </w:p>
          <w:p w14:paraId="47D9DFE7" w14:textId="77777777" w:rsidR="003E2A2D" w:rsidRPr="0051575F" w:rsidRDefault="003E2A2D" w:rsidP="001D6F9F">
            <w:pPr>
              <w:spacing w:line="276" w:lineRule="auto"/>
              <w:rPr>
                <w:lang w:val="uk-UA"/>
              </w:rPr>
            </w:pPr>
            <w:r w:rsidRPr="0051575F">
              <w:rPr>
                <w:lang w:val="uk-UA"/>
              </w:rPr>
              <w:t>Повністю вирішує проблему.</w:t>
            </w:r>
          </w:p>
          <w:p w14:paraId="0C6F8626" w14:textId="77777777" w:rsidR="00B54FCF" w:rsidRPr="0051575F" w:rsidRDefault="00B54FCF" w:rsidP="001D6F9F">
            <w:pPr>
              <w:spacing w:line="276" w:lineRule="auto"/>
              <w:rPr>
                <w:lang w:val="uk-UA"/>
              </w:rPr>
            </w:pPr>
          </w:p>
        </w:tc>
      </w:tr>
      <w:tr w:rsidR="00D94D1C" w:rsidRPr="0051575F" w14:paraId="3AA6E7F6" w14:textId="77777777" w:rsidTr="0041663C">
        <w:tc>
          <w:tcPr>
            <w:tcW w:w="2058" w:type="dxa"/>
            <w:tcBorders>
              <w:top w:val="single" w:sz="4" w:space="0" w:color="auto"/>
              <w:left w:val="single" w:sz="4" w:space="0" w:color="auto"/>
              <w:bottom w:val="single" w:sz="4" w:space="0" w:color="auto"/>
              <w:right w:val="single" w:sz="4" w:space="0" w:color="auto"/>
            </w:tcBorders>
            <w:hideMark/>
          </w:tcPr>
          <w:p w14:paraId="418A0893" w14:textId="77777777" w:rsidR="003E2A2D" w:rsidRPr="0051575F" w:rsidRDefault="003E2A2D" w:rsidP="001D6F9F">
            <w:pPr>
              <w:spacing w:before="100" w:beforeAutospacing="1" w:after="100" w:afterAutospacing="1" w:line="276" w:lineRule="auto"/>
              <w:jc w:val="both"/>
              <w:rPr>
                <w:rFonts w:eastAsia="Times New Roman"/>
                <w:lang w:val="uk-UA"/>
              </w:rPr>
            </w:pPr>
            <w:r w:rsidRPr="0051575F">
              <w:rPr>
                <w:rFonts w:eastAsia="Times New Roman"/>
                <w:lang w:val="uk-UA"/>
              </w:rPr>
              <w:t>Альтернатива 2: Залишення існуючої на даний момент ситуації без змін</w:t>
            </w:r>
          </w:p>
          <w:p w14:paraId="6777D035" w14:textId="77777777" w:rsidR="003E2A2D" w:rsidRPr="0051575F" w:rsidRDefault="003E2A2D" w:rsidP="001D6F9F">
            <w:pPr>
              <w:spacing w:before="100" w:beforeAutospacing="1" w:after="100" w:afterAutospacing="1" w:line="276" w:lineRule="auto"/>
              <w:jc w:val="both"/>
              <w:rPr>
                <w:rFonts w:eastAsia="Times New Roman"/>
                <w:lang w:val="uk-UA"/>
              </w:rPr>
            </w:pPr>
          </w:p>
        </w:tc>
        <w:tc>
          <w:tcPr>
            <w:tcW w:w="3525" w:type="dxa"/>
            <w:tcBorders>
              <w:top w:val="single" w:sz="4" w:space="0" w:color="auto"/>
              <w:left w:val="single" w:sz="4" w:space="0" w:color="auto"/>
              <w:bottom w:val="single" w:sz="4" w:space="0" w:color="auto"/>
              <w:right w:val="single" w:sz="4" w:space="0" w:color="auto"/>
            </w:tcBorders>
            <w:hideMark/>
          </w:tcPr>
          <w:p w14:paraId="7A7B752A" w14:textId="77777777" w:rsidR="00537BB4" w:rsidRPr="0051575F" w:rsidRDefault="00537BB4" w:rsidP="001D6F9F">
            <w:pPr>
              <w:spacing w:line="276" w:lineRule="auto"/>
              <w:jc w:val="both"/>
              <w:rPr>
                <w:rFonts w:eastAsia="Times New Roman"/>
                <w:lang w:val="uk-UA" w:eastAsia="uk-UA"/>
              </w:rPr>
            </w:pPr>
            <w:r w:rsidRPr="0051575F">
              <w:rPr>
                <w:rFonts w:eastAsia="Times New Roman"/>
                <w:iCs/>
                <w:lang w:val="uk-UA" w:eastAsia="uk-UA"/>
              </w:rPr>
              <w:t>У разі залишення існуючої на даний момент ситуації без зм</w:t>
            </w:r>
            <w:r w:rsidR="00D12914" w:rsidRPr="0051575F">
              <w:rPr>
                <w:rFonts w:eastAsia="Times New Roman"/>
                <w:iCs/>
                <w:lang w:val="uk-UA" w:eastAsia="uk-UA"/>
              </w:rPr>
              <w:t>ін, вигоди для держави</w:t>
            </w:r>
            <w:r w:rsidRPr="0051575F">
              <w:rPr>
                <w:rFonts w:eastAsia="Times New Roman"/>
                <w:iCs/>
                <w:lang w:val="uk-UA" w:eastAsia="uk-UA"/>
              </w:rPr>
              <w:t xml:space="preserve"> та суб’єктів господарювання  відсутні.</w:t>
            </w:r>
          </w:p>
          <w:p w14:paraId="6D4ACC62" w14:textId="77777777" w:rsidR="003E2A2D" w:rsidRPr="0051575F" w:rsidRDefault="003E2A2D" w:rsidP="001D6F9F">
            <w:pPr>
              <w:spacing w:line="276" w:lineRule="auto"/>
              <w:jc w:val="both"/>
              <w:rPr>
                <w:lang w:val="uk-UA"/>
              </w:rPr>
            </w:pPr>
            <w:r w:rsidRPr="0051575F">
              <w:rPr>
                <w:lang w:val="uk-UA"/>
              </w:rPr>
              <w:t xml:space="preserve"> </w:t>
            </w:r>
          </w:p>
        </w:tc>
        <w:tc>
          <w:tcPr>
            <w:tcW w:w="2143" w:type="dxa"/>
            <w:tcBorders>
              <w:top w:val="single" w:sz="4" w:space="0" w:color="auto"/>
              <w:left w:val="single" w:sz="4" w:space="0" w:color="auto"/>
              <w:bottom w:val="single" w:sz="4" w:space="0" w:color="auto"/>
              <w:right w:val="single" w:sz="4" w:space="0" w:color="auto"/>
            </w:tcBorders>
            <w:hideMark/>
          </w:tcPr>
          <w:p w14:paraId="698FBCD1" w14:textId="77777777" w:rsidR="003E2A2D" w:rsidRPr="0051575F" w:rsidRDefault="00537BB4" w:rsidP="001D6F9F">
            <w:pPr>
              <w:spacing w:line="276" w:lineRule="auto"/>
              <w:rPr>
                <w:lang w:val="uk-UA"/>
              </w:rPr>
            </w:pPr>
            <w:r w:rsidRPr="0051575F">
              <w:rPr>
                <w:lang w:val="uk-UA"/>
              </w:rPr>
              <w:t xml:space="preserve">Неможливість належно  виконувати покладені законодавством на </w:t>
            </w:r>
            <w:proofErr w:type="spellStart"/>
            <w:r w:rsidR="004A2FCF" w:rsidRPr="0051575F">
              <w:rPr>
                <w:lang w:val="uk-UA"/>
              </w:rPr>
              <w:t>Держенергонагляд</w:t>
            </w:r>
            <w:proofErr w:type="spellEnd"/>
            <w:r w:rsidR="004A2FCF" w:rsidRPr="0051575F">
              <w:rPr>
                <w:lang w:val="uk-UA"/>
              </w:rPr>
              <w:t xml:space="preserve"> </w:t>
            </w:r>
            <w:r w:rsidRPr="0051575F">
              <w:rPr>
                <w:lang w:val="uk-UA"/>
              </w:rPr>
              <w:t xml:space="preserve">функції та повноваження щодо здійснення державного нагляду (контролю) за додержанням суб’єктами господарювання законодавства </w:t>
            </w:r>
            <w:r w:rsidR="004A2FCF" w:rsidRPr="0051575F">
              <w:rPr>
                <w:rFonts w:eastAsia="Times New Roman"/>
                <w:lang w:val="uk-UA" w:eastAsia="uk-UA"/>
              </w:rPr>
              <w:t>у галузі електроенергетики та сфері теплопостачання</w:t>
            </w:r>
            <w:r w:rsidRPr="0051575F">
              <w:rPr>
                <w:lang w:val="uk-UA"/>
              </w:rPr>
              <w:t>; неузгодженість національно-правових актів.</w:t>
            </w:r>
          </w:p>
          <w:p w14:paraId="4A4B8973" w14:textId="77777777" w:rsidR="00537BB4" w:rsidRPr="0051575F" w:rsidRDefault="00537BB4" w:rsidP="001D6F9F">
            <w:pPr>
              <w:spacing w:line="276" w:lineRule="auto"/>
              <w:rPr>
                <w:lang w:val="uk-UA"/>
              </w:rPr>
            </w:pPr>
          </w:p>
        </w:tc>
        <w:tc>
          <w:tcPr>
            <w:tcW w:w="1876" w:type="dxa"/>
            <w:tcBorders>
              <w:top w:val="single" w:sz="4" w:space="0" w:color="auto"/>
              <w:left w:val="single" w:sz="4" w:space="0" w:color="auto"/>
              <w:bottom w:val="single" w:sz="4" w:space="0" w:color="auto"/>
              <w:right w:val="single" w:sz="4" w:space="0" w:color="auto"/>
            </w:tcBorders>
            <w:hideMark/>
          </w:tcPr>
          <w:p w14:paraId="4EE4CD5A" w14:textId="77777777" w:rsidR="003E2A2D" w:rsidRPr="0051575F" w:rsidRDefault="003E2A2D" w:rsidP="001D6F9F">
            <w:pPr>
              <w:spacing w:line="276" w:lineRule="auto"/>
              <w:rPr>
                <w:lang w:val="uk-UA"/>
              </w:rPr>
            </w:pPr>
            <w:r w:rsidRPr="0051575F">
              <w:rPr>
                <w:lang w:val="uk-UA"/>
              </w:rPr>
              <w:t>Не вирішує проблему.</w:t>
            </w:r>
          </w:p>
        </w:tc>
      </w:tr>
    </w:tbl>
    <w:p w14:paraId="301DA248" w14:textId="77777777" w:rsidR="00E443B5" w:rsidRPr="0051575F" w:rsidRDefault="00E443B5" w:rsidP="001D6F9F">
      <w:pPr>
        <w:spacing w:line="276" w:lineRule="auto"/>
        <w:ind w:firstLine="540"/>
        <w:jc w:val="both"/>
        <w:rPr>
          <w:sz w:val="28"/>
          <w:szCs w:val="28"/>
          <w:lang w:val="uk-UA"/>
        </w:rPr>
      </w:pPr>
      <w:bookmarkStart w:id="4" w:name="n160"/>
      <w:bookmarkEnd w:id="4"/>
    </w:p>
    <w:p w14:paraId="7BE77CCB" w14:textId="77777777" w:rsidR="00D94D1C" w:rsidRPr="0051575F" w:rsidRDefault="00D94D1C" w:rsidP="001D6F9F">
      <w:pPr>
        <w:spacing w:line="276" w:lineRule="auto"/>
        <w:ind w:firstLine="540"/>
        <w:jc w:val="both"/>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4237"/>
        <w:gridCol w:w="3209"/>
      </w:tblGrid>
      <w:tr w:rsidR="0051575F" w:rsidRPr="00750B42" w14:paraId="05E602A2" w14:textId="77777777" w:rsidTr="00B21D1B">
        <w:tc>
          <w:tcPr>
            <w:tcW w:w="2127" w:type="dxa"/>
            <w:shd w:val="clear" w:color="auto" w:fill="auto"/>
          </w:tcPr>
          <w:p w14:paraId="7AAB7360" w14:textId="77777777" w:rsidR="00570A04" w:rsidRPr="0051575F" w:rsidRDefault="00570A04" w:rsidP="001D6F9F">
            <w:pPr>
              <w:spacing w:line="276" w:lineRule="auto"/>
              <w:jc w:val="center"/>
              <w:rPr>
                <w:rFonts w:eastAsia="Times New Roman"/>
                <w:b/>
                <w:lang w:val="uk-UA"/>
              </w:rPr>
            </w:pPr>
            <w:r w:rsidRPr="0051575F">
              <w:rPr>
                <w:rFonts w:eastAsia="Times New Roman"/>
                <w:b/>
                <w:lang w:val="uk-UA"/>
              </w:rPr>
              <w:t>Рейтинг</w:t>
            </w:r>
          </w:p>
        </w:tc>
        <w:tc>
          <w:tcPr>
            <w:tcW w:w="4335" w:type="dxa"/>
            <w:shd w:val="clear" w:color="auto" w:fill="auto"/>
          </w:tcPr>
          <w:p w14:paraId="1E761EFE" w14:textId="77777777" w:rsidR="00570A04" w:rsidRPr="0051575F" w:rsidRDefault="00570A04" w:rsidP="001D6F9F">
            <w:pPr>
              <w:spacing w:line="276" w:lineRule="auto"/>
              <w:jc w:val="center"/>
              <w:rPr>
                <w:rFonts w:eastAsia="Times New Roman"/>
                <w:b/>
                <w:lang w:val="uk-UA"/>
              </w:rPr>
            </w:pPr>
            <w:r w:rsidRPr="0051575F">
              <w:rPr>
                <w:rFonts w:eastAsia="Times New Roman"/>
                <w:b/>
                <w:lang w:val="uk-UA"/>
              </w:rPr>
              <w:t>Аргументи щодо переваги обраної альтернативи/причини відмови від альтернативи</w:t>
            </w:r>
          </w:p>
        </w:tc>
        <w:tc>
          <w:tcPr>
            <w:tcW w:w="3285" w:type="dxa"/>
            <w:shd w:val="clear" w:color="auto" w:fill="auto"/>
          </w:tcPr>
          <w:p w14:paraId="348FA627" w14:textId="77777777" w:rsidR="00F73E68" w:rsidRPr="0051575F" w:rsidRDefault="00570A04" w:rsidP="001D6F9F">
            <w:pPr>
              <w:spacing w:line="276" w:lineRule="auto"/>
              <w:jc w:val="center"/>
              <w:rPr>
                <w:rFonts w:eastAsia="Times New Roman"/>
                <w:b/>
                <w:lang w:val="uk-UA"/>
              </w:rPr>
            </w:pPr>
            <w:r w:rsidRPr="0051575F">
              <w:rPr>
                <w:rFonts w:eastAsia="Times New Roman"/>
                <w:b/>
                <w:lang w:val="uk-UA"/>
              </w:rPr>
              <w:t xml:space="preserve">Оцінка ризику зовнішніх чинників на дію запропонованого регуляторного </w:t>
            </w:r>
            <w:proofErr w:type="spellStart"/>
            <w:r w:rsidRPr="0051575F">
              <w:rPr>
                <w:rFonts w:eastAsia="Times New Roman"/>
                <w:b/>
                <w:lang w:val="uk-UA"/>
              </w:rPr>
              <w:t>акта</w:t>
            </w:r>
            <w:proofErr w:type="spellEnd"/>
          </w:p>
        </w:tc>
      </w:tr>
      <w:tr w:rsidR="0051575F" w:rsidRPr="00750B42" w14:paraId="65F36FE0" w14:textId="77777777" w:rsidTr="00B21D1B">
        <w:tc>
          <w:tcPr>
            <w:tcW w:w="2127" w:type="dxa"/>
            <w:shd w:val="clear" w:color="auto" w:fill="auto"/>
          </w:tcPr>
          <w:p w14:paraId="63FFB9DF" w14:textId="77777777" w:rsidR="00570A04" w:rsidRPr="0051575F" w:rsidRDefault="00570A04" w:rsidP="001D6F9F">
            <w:pPr>
              <w:spacing w:line="276" w:lineRule="auto"/>
              <w:jc w:val="both"/>
              <w:rPr>
                <w:rFonts w:eastAsia="Times New Roman"/>
                <w:lang w:val="uk-UA"/>
              </w:rPr>
            </w:pPr>
            <w:r w:rsidRPr="0051575F">
              <w:rPr>
                <w:rFonts w:eastAsia="Times New Roman"/>
                <w:lang w:val="uk-UA"/>
              </w:rPr>
              <w:t>Альтернатива 1:</w:t>
            </w:r>
          </w:p>
          <w:p w14:paraId="648A829E" w14:textId="74D48E6F" w:rsidR="00570A04" w:rsidRPr="0051575F" w:rsidRDefault="007B2876" w:rsidP="001D6F9F">
            <w:pPr>
              <w:spacing w:line="276" w:lineRule="auto"/>
              <w:jc w:val="both"/>
              <w:rPr>
                <w:rFonts w:eastAsia="Times New Roman"/>
                <w:lang w:val="uk-UA"/>
              </w:rPr>
            </w:pPr>
            <w:r w:rsidRPr="0051575F">
              <w:rPr>
                <w:rFonts w:eastAsia="Times New Roman"/>
                <w:lang w:val="uk-UA"/>
              </w:rPr>
              <w:t xml:space="preserve">прийняття </w:t>
            </w:r>
            <w:proofErr w:type="spellStart"/>
            <w:r w:rsidR="009C2C13">
              <w:rPr>
                <w:rFonts w:eastAsia="Times New Roman"/>
                <w:lang w:val="uk-UA"/>
              </w:rPr>
              <w:t>проєкт</w:t>
            </w:r>
            <w:r w:rsidRPr="0051575F">
              <w:rPr>
                <w:rFonts w:eastAsia="Times New Roman"/>
                <w:lang w:val="uk-UA"/>
              </w:rPr>
              <w:t>у</w:t>
            </w:r>
            <w:proofErr w:type="spellEnd"/>
            <w:r w:rsidRPr="0051575F">
              <w:rPr>
                <w:rFonts w:eastAsia="Times New Roman"/>
                <w:lang w:val="uk-UA"/>
              </w:rPr>
              <w:t xml:space="preserve"> постанови Кабінету Міністрів України «Про затвердження критеріїв, за якими </w:t>
            </w:r>
            <w:r w:rsidRPr="0051575F">
              <w:rPr>
                <w:rFonts w:eastAsia="Times New Roman"/>
                <w:lang w:val="uk-UA"/>
              </w:rPr>
              <w:lastRenderedPageBreak/>
              <w:t xml:space="preserve">оцінюється ступінь ризику від провадження господарської діяльності в галузі електроенергетики та сфері теплопостачання і визначається періодичність здійснення </w:t>
            </w:r>
            <w:r w:rsidR="00147B5A">
              <w:rPr>
                <w:rFonts w:eastAsia="Times New Roman"/>
                <w:lang w:val="uk-UA"/>
              </w:rPr>
              <w:t xml:space="preserve">планових </w:t>
            </w:r>
            <w:r w:rsidRPr="0051575F">
              <w:rPr>
                <w:rFonts w:eastAsia="Times New Roman"/>
                <w:lang w:val="uk-UA"/>
              </w:rPr>
              <w:t>заходів державного нагляду (контролю) Державною інспекцією енергетичного нагляду та визнання такими, що втратили чинність, деяких постанов Кабінету Міністрів України»</w:t>
            </w:r>
          </w:p>
        </w:tc>
        <w:tc>
          <w:tcPr>
            <w:tcW w:w="4335" w:type="dxa"/>
            <w:shd w:val="clear" w:color="auto" w:fill="auto"/>
          </w:tcPr>
          <w:p w14:paraId="30C1C2BD" w14:textId="76091502" w:rsidR="00E74A4B" w:rsidRPr="0051575F" w:rsidRDefault="00570A04" w:rsidP="001D6F9F">
            <w:pPr>
              <w:spacing w:line="276" w:lineRule="auto"/>
              <w:ind w:firstLine="317"/>
              <w:contextualSpacing/>
              <w:jc w:val="both"/>
              <w:rPr>
                <w:rFonts w:eastAsia="Times New Roman"/>
                <w:lang w:val="uk-UA"/>
              </w:rPr>
            </w:pPr>
            <w:r w:rsidRPr="0051575F">
              <w:rPr>
                <w:rFonts w:eastAsia="Times New Roman"/>
                <w:lang w:val="uk-UA"/>
              </w:rPr>
              <w:lastRenderedPageBreak/>
              <w:t>П</w:t>
            </w:r>
            <w:r w:rsidR="000F6EC0" w:rsidRPr="0051575F">
              <w:rPr>
                <w:rFonts w:eastAsia="Times New Roman"/>
                <w:lang w:val="uk-UA"/>
              </w:rPr>
              <w:t xml:space="preserve">рийняття </w:t>
            </w:r>
            <w:proofErr w:type="spellStart"/>
            <w:r w:rsidR="009C2C13">
              <w:rPr>
                <w:rFonts w:eastAsia="Times New Roman"/>
                <w:lang w:val="uk-UA"/>
              </w:rPr>
              <w:t>проєкт</w:t>
            </w:r>
            <w:r w:rsidR="000F6EC0" w:rsidRPr="0051575F">
              <w:rPr>
                <w:rFonts w:eastAsia="Times New Roman"/>
                <w:lang w:val="uk-UA"/>
              </w:rPr>
              <w:t>у</w:t>
            </w:r>
            <w:proofErr w:type="spellEnd"/>
            <w:r w:rsidR="000F6EC0" w:rsidRPr="0051575F">
              <w:rPr>
                <w:rFonts w:eastAsia="Times New Roman"/>
                <w:lang w:val="uk-UA"/>
              </w:rPr>
              <w:t xml:space="preserve"> </w:t>
            </w:r>
            <w:proofErr w:type="spellStart"/>
            <w:r w:rsidR="000F6EC0" w:rsidRPr="0051575F">
              <w:rPr>
                <w:rFonts w:eastAsia="Times New Roman"/>
                <w:lang w:val="uk-UA"/>
              </w:rPr>
              <w:t>акта</w:t>
            </w:r>
            <w:proofErr w:type="spellEnd"/>
            <w:r w:rsidRPr="0051575F">
              <w:rPr>
                <w:rFonts w:eastAsia="Times New Roman"/>
                <w:lang w:val="uk-UA"/>
              </w:rPr>
              <w:t xml:space="preserve"> забезпечить повною мірою досягнення</w:t>
            </w:r>
            <w:r w:rsidR="005266BA" w:rsidRPr="0051575F">
              <w:rPr>
                <w:rFonts w:eastAsia="Times New Roman"/>
                <w:lang w:val="uk-UA"/>
              </w:rPr>
              <w:t xml:space="preserve"> </w:t>
            </w:r>
            <w:r w:rsidRPr="0051575F">
              <w:rPr>
                <w:rFonts w:eastAsia="Times New Roman"/>
                <w:lang w:val="uk-UA"/>
              </w:rPr>
              <w:t xml:space="preserve">цілей </w:t>
            </w:r>
            <w:r w:rsidR="005266BA" w:rsidRPr="0051575F">
              <w:rPr>
                <w:rFonts w:eastAsia="Times New Roman"/>
                <w:lang w:val="uk-UA"/>
              </w:rPr>
              <w:t>та</w:t>
            </w:r>
            <w:r w:rsidRPr="0051575F">
              <w:rPr>
                <w:rFonts w:eastAsia="Times New Roman"/>
                <w:lang w:val="uk-UA"/>
              </w:rPr>
              <w:t xml:space="preserve"> </w:t>
            </w:r>
            <w:r w:rsidR="00B21D1B" w:rsidRPr="0051575F">
              <w:rPr>
                <w:rFonts w:eastAsia="Times New Roman"/>
                <w:lang w:val="uk-UA"/>
              </w:rPr>
              <w:t>є</w:t>
            </w:r>
            <w:r w:rsidRPr="0051575F">
              <w:rPr>
                <w:rFonts w:eastAsia="Times New Roman"/>
                <w:lang w:val="uk-UA"/>
              </w:rPr>
              <w:t xml:space="preserve"> єдиним необхідним і достатнім способом вирішення проблеми.</w:t>
            </w:r>
            <w:r w:rsidR="00E730B1" w:rsidRPr="0051575F">
              <w:rPr>
                <w:rFonts w:eastAsia="Times New Roman"/>
                <w:lang w:val="uk-UA"/>
              </w:rPr>
              <w:t xml:space="preserve"> </w:t>
            </w:r>
          </w:p>
          <w:p w14:paraId="14589040" w14:textId="754E70DD" w:rsidR="00D92356" w:rsidRPr="0051575F" w:rsidRDefault="000F6EC0" w:rsidP="001D6F9F">
            <w:pPr>
              <w:spacing w:line="276" w:lineRule="auto"/>
              <w:jc w:val="both"/>
              <w:rPr>
                <w:rFonts w:eastAsia="Times New Roman"/>
                <w:lang w:val="uk-UA" w:eastAsia="uk-UA"/>
              </w:rPr>
            </w:pPr>
            <w:r w:rsidRPr="0051575F">
              <w:rPr>
                <w:rFonts w:eastAsia="Times New Roman"/>
                <w:lang w:val="uk-UA"/>
              </w:rPr>
              <w:t xml:space="preserve">Реалізація положень </w:t>
            </w:r>
            <w:proofErr w:type="spellStart"/>
            <w:r w:rsidR="009C2C13">
              <w:rPr>
                <w:rFonts w:eastAsia="Times New Roman"/>
                <w:lang w:val="uk-UA"/>
              </w:rPr>
              <w:t>проєкт</w:t>
            </w:r>
            <w:r w:rsidRPr="0051575F">
              <w:rPr>
                <w:rFonts w:eastAsia="Times New Roman"/>
                <w:lang w:val="uk-UA"/>
              </w:rPr>
              <w:t>у</w:t>
            </w:r>
            <w:proofErr w:type="spellEnd"/>
            <w:r w:rsidRPr="0051575F">
              <w:rPr>
                <w:rFonts w:eastAsia="Times New Roman"/>
                <w:lang w:val="uk-UA"/>
              </w:rPr>
              <w:t xml:space="preserve"> </w:t>
            </w:r>
            <w:proofErr w:type="spellStart"/>
            <w:r w:rsidRPr="0051575F">
              <w:rPr>
                <w:rFonts w:eastAsia="Times New Roman"/>
                <w:lang w:val="uk-UA"/>
              </w:rPr>
              <w:t>акта</w:t>
            </w:r>
            <w:proofErr w:type="spellEnd"/>
            <w:r w:rsidR="00E730B1" w:rsidRPr="0051575F">
              <w:rPr>
                <w:rFonts w:eastAsia="Times New Roman"/>
                <w:lang w:val="uk-UA"/>
              </w:rPr>
              <w:t xml:space="preserve"> </w:t>
            </w:r>
            <w:r w:rsidR="00D92356" w:rsidRPr="0051575F">
              <w:rPr>
                <w:rFonts w:eastAsia="Times New Roman"/>
                <w:lang w:val="uk-UA" w:eastAsia="uk-UA"/>
              </w:rPr>
              <w:t xml:space="preserve">дозволить уникнути недоліків зазначеної альтернативи та забезпечить </w:t>
            </w:r>
            <w:r w:rsidR="00D92356" w:rsidRPr="0051575F">
              <w:rPr>
                <w:rFonts w:eastAsia="Times New Roman"/>
                <w:lang w:val="uk-UA" w:eastAsia="uk-UA"/>
              </w:rPr>
              <w:lastRenderedPageBreak/>
              <w:t xml:space="preserve">функціонування прозорого, чіткого механізму державного нагляду (контролю) за додержанням  суб’єктами господарювання законодавства </w:t>
            </w:r>
            <w:r w:rsidR="00CE6B44" w:rsidRPr="0051575F">
              <w:rPr>
                <w:rFonts w:eastAsia="Times New Roman"/>
                <w:lang w:val="uk-UA" w:eastAsia="uk-UA"/>
              </w:rPr>
              <w:t>у галузі електроенергетики та сфері теплопостачання</w:t>
            </w:r>
            <w:r w:rsidR="00D92356" w:rsidRPr="0051575F">
              <w:rPr>
                <w:rFonts w:eastAsia="Times New Roman"/>
                <w:lang w:val="uk-UA" w:eastAsia="uk-UA"/>
              </w:rPr>
              <w:t xml:space="preserve">. </w:t>
            </w:r>
          </w:p>
          <w:p w14:paraId="24A29495" w14:textId="77777777" w:rsidR="00F73E68" w:rsidRPr="0051575F" w:rsidRDefault="00D92356" w:rsidP="001D6F9F">
            <w:pPr>
              <w:spacing w:line="276" w:lineRule="auto"/>
              <w:jc w:val="both"/>
              <w:rPr>
                <w:rFonts w:eastAsia="Times New Roman"/>
                <w:lang w:val="uk-UA"/>
              </w:rPr>
            </w:pPr>
            <w:r w:rsidRPr="0051575F">
              <w:rPr>
                <w:rFonts w:eastAsia="Times New Roman"/>
                <w:lang w:val="uk-UA" w:eastAsia="uk-UA"/>
              </w:rPr>
              <w:t>Ця альтернатива відповідає потребам у розв’язанні визначеної проблеми у цілому та принципам дер</w:t>
            </w:r>
            <w:r w:rsidR="002B1376" w:rsidRPr="0051575F">
              <w:rPr>
                <w:rFonts w:eastAsia="Times New Roman"/>
                <w:lang w:val="uk-UA" w:eastAsia="uk-UA"/>
              </w:rPr>
              <w:t>жавної регуляторної політики, та</w:t>
            </w:r>
            <w:r w:rsidRPr="0051575F">
              <w:rPr>
                <w:rFonts w:eastAsia="Times New Roman"/>
                <w:lang w:val="uk-UA" w:eastAsia="uk-UA"/>
              </w:rPr>
              <w:t xml:space="preserve"> є найбільш прийнятною для досягнення визначених цілей.</w:t>
            </w:r>
          </w:p>
        </w:tc>
        <w:tc>
          <w:tcPr>
            <w:tcW w:w="3285" w:type="dxa"/>
            <w:shd w:val="clear" w:color="auto" w:fill="auto"/>
          </w:tcPr>
          <w:p w14:paraId="0C2AEDDA" w14:textId="77777777" w:rsidR="00570A04" w:rsidRPr="0051575F" w:rsidRDefault="00570A04" w:rsidP="001D6F9F">
            <w:pPr>
              <w:spacing w:line="276" w:lineRule="auto"/>
              <w:rPr>
                <w:rFonts w:eastAsia="Times New Roman"/>
                <w:lang w:val="uk-UA"/>
              </w:rPr>
            </w:pPr>
            <w:r w:rsidRPr="0051575F">
              <w:rPr>
                <w:rFonts w:eastAsia="Times New Roman"/>
                <w:lang w:val="uk-UA"/>
              </w:rPr>
              <w:lastRenderedPageBreak/>
              <w:t xml:space="preserve">Вплив зовнішніх факторів на дію регуляторного </w:t>
            </w:r>
            <w:proofErr w:type="spellStart"/>
            <w:r w:rsidRPr="0051575F">
              <w:rPr>
                <w:rFonts w:eastAsia="Times New Roman"/>
                <w:lang w:val="uk-UA"/>
              </w:rPr>
              <w:t>акта</w:t>
            </w:r>
            <w:proofErr w:type="spellEnd"/>
            <w:r w:rsidRPr="0051575F">
              <w:rPr>
                <w:rFonts w:eastAsia="Times New Roman"/>
                <w:lang w:val="uk-UA"/>
              </w:rPr>
              <w:t xml:space="preserve"> не очікується.</w:t>
            </w:r>
          </w:p>
        </w:tc>
      </w:tr>
      <w:tr w:rsidR="0051575F" w:rsidRPr="00750B42" w14:paraId="2DC367FB" w14:textId="77777777" w:rsidTr="00B21D1B">
        <w:tc>
          <w:tcPr>
            <w:tcW w:w="2127" w:type="dxa"/>
            <w:shd w:val="clear" w:color="auto" w:fill="auto"/>
          </w:tcPr>
          <w:p w14:paraId="4717E09B" w14:textId="77777777" w:rsidR="00570A04" w:rsidRPr="0051575F" w:rsidRDefault="00570A04" w:rsidP="001D6F9F">
            <w:pPr>
              <w:spacing w:line="276" w:lineRule="auto"/>
              <w:rPr>
                <w:rFonts w:eastAsia="Times New Roman"/>
                <w:lang w:val="uk-UA"/>
              </w:rPr>
            </w:pPr>
            <w:r w:rsidRPr="0051575F">
              <w:rPr>
                <w:rFonts w:eastAsia="Times New Roman"/>
                <w:lang w:val="uk-UA"/>
              </w:rPr>
              <w:t>Альтернатива 2:</w:t>
            </w:r>
          </w:p>
          <w:p w14:paraId="7A107A4A" w14:textId="77777777" w:rsidR="00570A04" w:rsidRPr="0051575F" w:rsidRDefault="00570A04" w:rsidP="001D6F9F">
            <w:pPr>
              <w:spacing w:line="276" w:lineRule="auto"/>
              <w:jc w:val="both"/>
              <w:rPr>
                <w:rFonts w:eastAsia="Times New Roman"/>
                <w:lang w:val="uk-UA"/>
              </w:rPr>
            </w:pPr>
            <w:r w:rsidRPr="0051575F">
              <w:rPr>
                <w:rFonts w:eastAsia="Times New Roman"/>
                <w:lang w:val="uk-UA"/>
              </w:rPr>
              <w:t>Залишення існуючої на даний момент ситуації без змін</w:t>
            </w:r>
          </w:p>
        </w:tc>
        <w:tc>
          <w:tcPr>
            <w:tcW w:w="4335" w:type="dxa"/>
            <w:shd w:val="clear" w:color="auto" w:fill="auto"/>
          </w:tcPr>
          <w:p w14:paraId="65305CDF" w14:textId="77777777" w:rsidR="00E74A4B" w:rsidRPr="0051575F" w:rsidRDefault="00B21D1B" w:rsidP="001D6F9F">
            <w:pPr>
              <w:spacing w:line="276" w:lineRule="auto"/>
              <w:jc w:val="both"/>
              <w:rPr>
                <w:rFonts w:eastAsia="Times New Roman"/>
                <w:lang w:val="uk-UA"/>
              </w:rPr>
            </w:pPr>
            <w:r w:rsidRPr="0051575F">
              <w:rPr>
                <w:rFonts w:eastAsia="Times New Roman"/>
                <w:lang w:val="uk-UA"/>
              </w:rPr>
              <w:t xml:space="preserve">Не забезпечується досягнення цілей. </w:t>
            </w:r>
          </w:p>
          <w:p w14:paraId="0B67B7BF" w14:textId="77777777" w:rsidR="00B54FCF" w:rsidRPr="0051575F" w:rsidRDefault="00B54FCF" w:rsidP="001D6F9F">
            <w:pPr>
              <w:spacing w:line="276" w:lineRule="auto"/>
              <w:jc w:val="both"/>
              <w:rPr>
                <w:rFonts w:eastAsia="Times New Roman"/>
                <w:lang w:val="uk-UA"/>
              </w:rPr>
            </w:pPr>
            <w:r w:rsidRPr="0051575F">
              <w:rPr>
                <w:rFonts w:eastAsia="Times New Roman"/>
                <w:lang w:val="uk-UA"/>
              </w:rPr>
              <w:t>Проблема залишається невирішеною</w:t>
            </w:r>
          </w:p>
        </w:tc>
        <w:tc>
          <w:tcPr>
            <w:tcW w:w="3285" w:type="dxa"/>
            <w:shd w:val="clear" w:color="auto" w:fill="auto"/>
          </w:tcPr>
          <w:p w14:paraId="2500E0F9" w14:textId="77777777" w:rsidR="00570A04" w:rsidRPr="0051575F" w:rsidRDefault="00570A04" w:rsidP="001D6F9F">
            <w:pPr>
              <w:spacing w:line="276" w:lineRule="auto"/>
              <w:rPr>
                <w:rFonts w:eastAsia="Times New Roman"/>
                <w:lang w:val="uk-UA"/>
              </w:rPr>
            </w:pPr>
            <w:r w:rsidRPr="0051575F">
              <w:rPr>
                <w:rFonts w:eastAsia="Times New Roman"/>
                <w:lang w:val="uk-UA"/>
              </w:rPr>
              <w:t xml:space="preserve">Вплив зовнішніх факторів на дію регуляторного </w:t>
            </w:r>
            <w:proofErr w:type="spellStart"/>
            <w:r w:rsidRPr="0051575F">
              <w:rPr>
                <w:rFonts w:eastAsia="Times New Roman"/>
                <w:lang w:val="uk-UA"/>
              </w:rPr>
              <w:t>акта</w:t>
            </w:r>
            <w:proofErr w:type="spellEnd"/>
            <w:r w:rsidRPr="0051575F">
              <w:rPr>
                <w:rFonts w:eastAsia="Times New Roman"/>
                <w:lang w:val="uk-UA"/>
              </w:rPr>
              <w:t xml:space="preserve"> не очікується.</w:t>
            </w:r>
          </w:p>
        </w:tc>
      </w:tr>
    </w:tbl>
    <w:p w14:paraId="3C78D283" w14:textId="77777777" w:rsidR="007C13AD" w:rsidRPr="0051575F" w:rsidRDefault="007C13AD" w:rsidP="001D6F9F">
      <w:pPr>
        <w:tabs>
          <w:tab w:val="left" w:pos="720"/>
        </w:tabs>
        <w:spacing w:after="60" w:line="276" w:lineRule="auto"/>
        <w:ind w:firstLine="720"/>
        <w:contextualSpacing/>
        <w:jc w:val="both"/>
        <w:rPr>
          <w:sz w:val="28"/>
          <w:szCs w:val="28"/>
          <w:lang w:val="uk-UA"/>
        </w:rPr>
      </w:pPr>
    </w:p>
    <w:p w14:paraId="0230CCA0" w14:textId="77777777" w:rsidR="00E443B5" w:rsidRPr="0051575F" w:rsidRDefault="00E443B5" w:rsidP="001D6F9F">
      <w:pPr>
        <w:tabs>
          <w:tab w:val="left" w:pos="720"/>
        </w:tabs>
        <w:spacing w:after="60" w:line="276" w:lineRule="auto"/>
        <w:ind w:firstLine="720"/>
        <w:contextualSpacing/>
        <w:jc w:val="both"/>
        <w:rPr>
          <w:sz w:val="28"/>
          <w:szCs w:val="28"/>
          <w:lang w:val="uk-UA"/>
        </w:rPr>
      </w:pPr>
      <w:r w:rsidRPr="0051575F">
        <w:rPr>
          <w:sz w:val="28"/>
          <w:szCs w:val="28"/>
          <w:lang w:val="uk-UA"/>
        </w:rPr>
        <w:t xml:space="preserve">Негативних результатів від прийняття регуляторного </w:t>
      </w:r>
      <w:proofErr w:type="spellStart"/>
      <w:r w:rsidRPr="0051575F">
        <w:rPr>
          <w:sz w:val="28"/>
          <w:szCs w:val="28"/>
          <w:lang w:val="uk-UA"/>
        </w:rPr>
        <w:t>акта</w:t>
      </w:r>
      <w:proofErr w:type="spellEnd"/>
      <w:r w:rsidRPr="0051575F">
        <w:rPr>
          <w:sz w:val="28"/>
          <w:szCs w:val="28"/>
          <w:lang w:val="uk-UA"/>
        </w:rPr>
        <w:t xml:space="preserve"> не очікується. </w:t>
      </w:r>
    </w:p>
    <w:p w14:paraId="2526D238" w14:textId="77777777" w:rsidR="00D153E4" w:rsidRPr="0051575F" w:rsidRDefault="00D153E4" w:rsidP="001D6F9F">
      <w:pPr>
        <w:tabs>
          <w:tab w:val="left" w:pos="720"/>
        </w:tabs>
        <w:spacing w:after="60" w:line="276" w:lineRule="auto"/>
        <w:ind w:firstLine="720"/>
        <w:contextualSpacing/>
        <w:jc w:val="both"/>
        <w:rPr>
          <w:sz w:val="28"/>
          <w:szCs w:val="28"/>
          <w:lang w:val="uk-UA"/>
        </w:rPr>
      </w:pPr>
    </w:p>
    <w:p w14:paraId="5D5B7BBF" w14:textId="77777777" w:rsidR="000628DF" w:rsidRPr="0051575F" w:rsidRDefault="000628DF" w:rsidP="001D6F9F">
      <w:pPr>
        <w:tabs>
          <w:tab w:val="left" w:pos="720"/>
        </w:tabs>
        <w:spacing w:after="60" w:line="276" w:lineRule="auto"/>
        <w:ind w:firstLine="720"/>
        <w:contextualSpacing/>
        <w:jc w:val="center"/>
        <w:rPr>
          <w:b/>
          <w:sz w:val="28"/>
          <w:szCs w:val="28"/>
          <w:lang w:val="uk-UA"/>
        </w:rPr>
      </w:pPr>
      <w:r w:rsidRPr="0051575F">
        <w:rPr>
          <w:b/>
          <w:sz w:val="28"/>
          <w:szCs w:val="28"/>
          <w:lang w:val="uk-UA"/>
        </w:rPr>
        <w:t>V</w:t>
      </w:r>
      <w:r w:rsidR="004E3BF3" w:rsidRPr="0051575F">
        <w:rPr>
          <w:b/>
          <w:sz w:val="28"/>
          <w:szCs w:val="28"/>
          <w:lang w:val="uk-UA"/>
        </w:rPr>
        <w:t xml:space="preserve">. </w:t>
      </w:r>
      <w:r w:rsidRPr="0051575F">
        <w:rPr>
          <w:b/>
          <w:sz w:val="28"/>
          <w:szCs w:val="28"/>
          <w:lang w:val="uk-UA"/>
        </w:rPr>
        <w:t>Механізми та заходи, які забезпечать розв’язання визначеної проблеми</w:t>
      </w:r>
    </w:p>
    <w:p w14:paraId="19A73138" w14:textId="77777777" w:rsidR="009B0A8E" w:rsidRPr="0051575F" w:rsidRDefault="00E26FE5" w:rsidP="00483462">
      <w:pPr>
        <w:spacing w:line="276" w:lineRule="auto"/>
        <w:ind w:firstLine="709"/>
        <w:jc w:val="both"/>
        <w:rPr>
          <w:sz w:val="28"/>
          <w:szCs w:val="28"/>
          <w:lang w:val="uk-UA"/>
        </w:rPr>
      </w:pPr>
      <w:r w:rsidRPr="0051575F">
        <w:rPr>
          <w:sz w:val="28"/>
          <w:szCs w:val="28"/>
          <w:lang w:val="uk-UA"/>
        </w:rPr>
        <w:t>Для вирішення проблем</w:t>
      </w:r>
      <w:r w:rsidR="000E1616" w:rsidRPr="0051575F">
        <w:rPr>
          <w:sz w:val="28"/>
          <w:szCs w:val="28"/>
          <w:lang w:val="uk-UA"/>
        </w:rPr>
        <w:t>и</w:t>
      </w:r>
      <w:r w:rsidRPr="0051575F">
        <w:rPr>
          <w:sz w:val="28"/>
          <w:szCs w:val="28"/>
          <w:lang w:val="uk-UA"/>
        </w:rPr>
        <w:t xml:space="preserve"> </w:t>
      </w:r>
      <w:r w:rsidR="00CD04C2" w:rsidRPr="0051575F">
        <w:rPr>
          <w:sz w:val="28"/>
          <w:szCs w:val="28"/>
          <w:lang w:val="uk-UA"/>
        </w:rPr>
        <w:t xml:space="preserve">слід затвердити </w:t>
      </w:r>
      <w:r w:rsidR="00CD04C2" w:rsidRPr="0051575F">
        <w:rPr>
          <w:rFonts w:eastAsia="Times New Roman"/>
          <w:sz w:val="28"/>
          <w:szCs w:val="28"/>
          <w:lang w:val="uk-UA"/>
        </w:rPr>
        <w:t>критерії, за якими оцінюється ступінь ризику від провадження господарської діяльності в галузі електроенергетики та сфері теплопостачання і визначається періодичність здійснення заходів державного нагляду (контролю) Державною інспекцією енергетичного нагляду та визна</w:t>
      </w:r>
      <w:r w:rsidR="003E140B" w:rsidRPr="0051575F">
        <w:rPr>
          <w:rFonts w:eastAsia="Times New Roman"/>
          <w:sz w:val="28"/>
          <w:szCs w:val="28"/>
          <w:lang w:val="uk-UA"/>
        </w:rPr>
        <w:t>ти</w:t>
      </w:r>
      <w:r w:rsidR="00CD04C2" w:rsidRPr="0051575F">
        <w:rPr>
          <w:rFonts w:eastAsia="Times New Roman"/>
          <w:sz w:val="28"/>
          <w:szCs w:val="28"/>
          <w:lang w:val="uk-UA"/>
        </w:rPr>
        <w:t xml:space="preserve"> так</w:t>
      </w:r>
      <w:r w:rsidR="003E140B" w:rsidRPr="0051575F">
        <w:rPr>
          <w:rFonts w:eastAsia="Times New Roman"/>
          <w:sz w:val="28"/>
          <w:szCs w:val="28"/>
          <w:lang w:val="uk-UA"/>
        </w:rPr>
        <w:t>ою, щ</w:t>
      </w:r>
      <w:r w:rsidR="00CD04C2" w:rsidRPr="0051575F">
        <w:rPr>
          <w:rFonts w:eastAsia="Times New Roman"/>
          <w:sz w:val="28"/>
          <w:szCs w:val="28"/>
          <w:lang w:val="uk-UA"/>
        </w:rPr>
        <w:t>о втратил</w:t>
      </w:r>
      <w:r w:rsidR="003E140B" w:rsidRPr="0051575F">
        <w:rPr>
          <w:rFonts w:eastAsia="Times New Roman"/>
          <w:sz w:val="28"/>
          <w:szCs w:val="28"/>
          <w:lang w:val="uk-UA"/>
        </w:rPr>
        <w:t>а</w:t>
      </w:r>
      <w:r w:rsidR="00CD04C2" w:rsidRPr="0051575F">
        <w:rPr>
          <w:rFonts w:eastAsia="Times New Roman"/>
          <w:sz w:val="28"/>
          <w:szCs w:val="28"/>
          <w:lang w:val="uk-UA"/>
        </w:rPr>
        <w:t xml:space="preserve"> чинність </w:t>
      </w:r>
      <w:r w:rsidR="003E140B" w:rsidRPr="0051575F">
        <w:rPr>
          <w:rFonts w:eastAsia="Times New Roman"/>
          <w:sz w:val="28"/>
          <w:szCs w:val="28"/>
          <w:lang w:val="uk-UA"/>
        </w:rPr>
        <w:t>П</w:t>
      </w:r>
      <w:r w:rsidR="00CD04C2" w:rsidRPr="0051575F">
        <w:rPr>
          <w:rFonts w:eastAsia="Times New Roman"/>
          <w:sz w:val="28"/>
          <w:szCs w:val="28"/>
          <w:lang w:val="uk-UA"/>
        </w:rPr>
        <w:t>останов</w:t>
      </w:r>
      <w:r w:rsidR="003E140B" w:rsidRPr="0051575F">
        <w:rPr>
          <w:rFonts w:eastAsia="Times New Roman"/>
          <w:sz w:val="28"/>
          <w:szCs w:val="28"/>
          <w:lang w:val="uk-UA"/>
        </w:rPr>
        <w:t>у</w:t>
      </w:r>
      <w:r w:rsidR="00CD04C2" w:rsidRPr="0051575F">
        <w:rPr>
          <w:rFonts w:eastAsia="Times New Roman"/>
          <w:sz w:val="28"/>
          <w:szCs w:val="28"/>
          <w:lang w:val="uk-UA"/>
        </w:rPr>
        <w:t xml:space="preserve"> </w:t>
      </w:r>
      <w:r w:rsidR="003E140B" w:rsidRPr="0051575F">
        <w:rPr>
          <w:rFonts w:eastAsia="Times New Roman"/>
          <w:sz w:val="28"/>
          <w:szCs w:val="28"/>
          <w:lang w:val="uk-UA"/>
        </w:rPr>
        <w:t>№ 75</w:t>
      </w:r>
      <w:r w:rsidR="000E1616" w:rsidRPr="0051575F">
        <w:rPr>
          <w:sz w:val="28"/>
          <w:szCs w:val="28"/>
          <w:lang w:val="uk-UA"/>
        </w:rPr>
        <w:t xml:space="preserve">, </w:t>
      </w:r>
    </w:p>
    <w:p w14:paraId="3E17FB39" w14:textId="77777777" w:rsidR="000972BC" w:rsidRPr="0051575F" w:rsidRDefault="000E1616" w:rsidP="001D6F9F">
      <w:pPr>
        <w:tabs>
          <w:tab w:val="left" w:pos="720"/>
        </w:tabs>
        <w:spacing w:after="60" w:line="276" w:lineRule="auto"/>
        <w:contextualSpacing/>
        <w:jc w:val="both"/>
        <w:rPr>
          <w:sz w:val="28"/>
          <w:szCs w:val="28"/>
          <w:lang w:val="uk-UA"/>
        </w:rPr>
      </w:pPr>
      <w:r w:rsidRPr="0051575F">
        <w:rPr>
          <w:sz w:val="28"/>
          <w:szCs w:val="28"/>
          <w:lang w:val="uk-UA"/>
        </w:rPr>
        <w:t xml:space="preserve">що призведе до </w:t>
      </w:r>
      <w:r w:rsidR="000972BC" w:rsidRPr="0051575F">
        <w:rPr>
          <w:sz w:val="28"/>
          <w:szCs w:val="28"/>
          <w:lang w:val="uk-UA"/>
        </w:rPr>
        <w:t xml:space="preserve">створення </w:t>
      </w:r>
      <w:r w:rsidR="005F4A76" w:rsidRPr="0051575F">
        <w:rPr>
          <w:sz w:val="28"/>
          <w:szCs w:val="28"/>
          <w:lang w:val="uk-UA"/>
        </w:rPr>
        <w:t>сприятливих умов для здій</w:t>
      </w:r>
      <w:r w:rsidR="000972BC" w:rsidRPr="0051575F">
        <w:rPr>
          <w:sz w:val="28"/>
          <w:szCs w:val="28"/>
          <w:lang w:val="uk-UA"/>
        </w:rPr>
        <w:t>снення господарської діяльності</w:t>
      </w:r>
      <w:r w:rsidR="00431DAF" w:rsidRPr="0051575F">
        <w:rPr>
          <w:sz w:val="28"/>
          <w:szCs w:val="28"/>
          <w:lang w:val="uk-UA"/>
        </w:rPr>
        <w:t xml:space="preserve">, </w:t>
      </w:r>
      <w:r w:rsidR="000972BC" w:rsidRPr="0051575F">
        <w:rPr>
          <w:sz w:val="28"/>
          <w:szCs w:val="28"/>
          <w:lang w:val="uk-UA"/>
        </w:rPr>
        <w:t>зменшення з урахуванням ризик-орієнтованого підходу кількості проведених планових перевірок суб’єктів господарювання</w:t>
      </w:r>
      <w:r w:rsidR="00431DAF" w:rsidRPr="0051575F">
        <w:rPr>
          <w:sz w:val="28"/>
          <w:szCs w:val="28"/>
          <w:lang w:val="uk-UA"/>
        </w:rPr>
        <w:t xml:space="preserve"> та </w:t>
      </w:r>
      <w:r w:rsidR="000972BC" w:rsidRPr="0051575F">
        <w:rPr>
          <w:sz w:val="28"/>
          <w:szCs w:val="28"/>
          <w:lang w:val="uk-UA"/>
        </w:rPr>
        <w:t>поліпшення інвестиційного клімату в Україні.</w:t>
      </w:r>
    </w:p>
    <w:p w14:paraId="390D974B" w14:textId="63672816" w:rsidR="007A1931" w:rsidRPr="0051575F" w:rsidRDefault="007A1931" w:rsidP="007A1931">
      <w:pPr>
        <w:tabs>
          <w:tab w:val="left" w:pos="720"/>
        </w:tabs>
        <w:spacing w:after="60" w:line="276" w:lineRule="auto"/>
        <w:ind w:firstLine="720"/>
        <w:contextualSpacing/>
        <w:jc w:val="both"/>
        <w:rPr>
          <w:sz w:val="28"/>
          <w:szCs w:val="28"/>
          <w:lang w:val="uk-UA"/>
        </w:rPr>
      </w:pPr>
      <w:r w:rsidRPr="0051575F">
        <w:rPr>
          <w:sz w:val="28"/>
          <w:szCs w:val="28"/>
          <w:lang w:val="uk-UA"/>
        </w:rPr>
        <w:lastRenderedPageBreak/>
        <w:t xml:space="preserve">Для впровадження регуляторного </w:t>
      </w:r>
      <w:proofErr w:type="spellStart"/>
      <w:r w:rsidRPr="0051575F">
        <w:rPr>
          <w:sz w:val="28"/>
          <w:szCs w:val="28"/>
          <w:lang w:val="uk-UA"/>
        </w:rPr>
        <w:t>акта</w:t>
      </w:r>
      <w:proofErr w:type="spellEnd"/>
      <w:r w:rsidRPr="0051575F">
        <w:rPr>
          <w:sz w:val="28"/>
          <w:szCs w:val="28"/>
          <w:lang w:val="uk-UA"/>
        </w:rPr>
        <w:t xml:space="preserve"> </w:t>
      </w:r>
      <w:r w:rsidR="009C5A0E" w:rsidRPr="0051575F">
        <w:rPr>
          <w:rFonts w:eastAsia="Times New Roman"/>
          <w:sz w:val="28"/>
          <w:szCs w:val="28"/>
          <w:lang w:val="uk-UA"/>
        </w:rPr>
        <w:t>Державн</w:t>
      </w:r>
      <w:r w:rsidR="009C5A0E">
        <w:rPr>
          <w:rFonts w:eastAsia="Times New Roman"/>
          <w:sz w:val="28"/>
          <w:szCs w:val="28"/>
          <w:lang w:val="uk-UA"/>
        </w:rPr>
        <w:t>а</w:t>
      </w:r>
      <w:r w:rsidR="009C5A0E" w:rsidRPr="0051575F">
        <w:rPr>
          <w:rFonts w:eastAsia="Times New Roman"/>
          <w:sz w:val="28"/>
          <w:szCs w:val="28"/>
          <w:lang w:val="uk-UA"/>
        </w:rPr>
        <w:t xml:space="preserve"> інспекці</w:t>
      </w:r>
      <w:r w:rsidR="009C5A0E">
        <w:rPr>
          <w:rFonts w:eastAsia="Times New Roman"/>
          <w:sz w:val="28"/>
          <w:szCs w:val="28"/>
          <w:lang w:val="uk-UA"/>
        </w:rPr>
        <w:t>я</w:t>
      </w:r>
      <w:r w:rsidR="009C5A0E" w:rsidRPr="0051575F">
        <w:rPr>
          <w:rFonts w:eastAsia="Times New Roman"/>
          <w:sz w:val="28"/>
          <w:szCs w:val="28"/>
          <w:lang w:val="uk-UA"/>
        </w:rPr>
        <w:t xml:space="preserve"> енергетичного нагляду</w:t>
      </w:r>
      <w:r w:rsidRPr="0051575F">
        <w:rPr>
          <w:sz w:val="28"/>
          <w:szCs w:val="28"/>
          <w:lang w:val="uk-UA"/>
        </w:rPr>
        <w:t xml:space="preserve"> має погодити </w:t>
      </w:r>
      <w:proofErr w:type="spellStart"/>
      <w:r w:rsidR="009C2C13">
        <w:rPr>
          <w:sz w:val="28"/>
          <w:szCs w:val="28"/>
          <w:lang w:val="uk-UA"/>
        </w:rPr>
        <w:t>проєкт</w:t>
      </w:r>
      <w:proofErr w:type="spellEnd"/>
      <w:r w:rsidRPr="0051575F">
        <w:rPr>
          <w:sz w:val="28"/>
          <w:szCs w:val="28"/>
          <w:lang w:val="uk-UA"/>
        </w:rPr>
        <w:t xml:space="preserve"> постанови із</w:t>
      </w:r>
      <w:r w:rsidR="00163249" w:rsidRPr="00163249">
        <w:t xml:space="preserve"> </w:t>
      </w:r>
      <w:r w:rsidR="00163249" w:rsidRPr="00163249">
        <w:rPr>
          <w:sz w:val="28"/>
          <w:szCs w:val="28"/>
          <w:lang w:val="uk-UA"/>
        </w:rPr>
        <w:t>міністр</w:t>
      </w:r>
      <w:r w:rsidR="00163249">
        <w:rPr>
          <w:sz w:val="28"/>
          <w:szCs w:val="28"/>
          <w:lang w:val="uk-UA"/>
        </w:rPr>
        <w:t>ом</w:t>
      </w:r>
      <w:r w:rsidR="00163249" w:rsidRPr="00163249">
        <w:rPr>
          <w:sz w:val="28"/>
          <w:szCs w:val="28"/>
          <w:lang w:val="uk-UA"/>
        </w:rPr>
        <w:t>, що спрямовує та координує діяльність центрального органу виконавчої влади</w:t>
      </w:r>
      <w:r w:rsidR="00903626">
        <w:rPr>
          <w:sz w:val="28"/>
          <w:szCs w:val="28"/>
          <w:lang w:val="uk-UA"/>
        </w:rPr>
        <w:t>,</w:t>
      </w:r>
      <w:r w:rsidRPr="0051575F">
        <w:rPr>
          <w:sz w:val="28"/>
          <w:szCs w:val="28"/>
          <w:lang w:val="uk-UA"/>
        </w:rPr>
        <w:t xml:space="preserve"> заінтересованими органами виконавчої влади та подати його на розгляд Кабінету Міністрів України.</w:t>
      </w:r>
    </w:p>
    <w:p w14:paraId="5971ED10" w14:textId="77777777" w:rsidR="004B5291" w:rsidRPr="0051575F" w:rsidRDefault="001D6F9F" w:rsidP="001D6F9F">
      <w:pPr>
        <w:tabs>
          <w:tab w:val="left" w:pos="720"/>
        </w:tabs>
        <w:spacing w:after="60" w:line="276" w:lineRule="auto"/>
        <w:ind w:firstLine="720"/>
        <w:contextualSpacing/>
        <w:jc w:val="both"/>
        <w:rPr>
          <w:sz w:val="28"/>
          <w:szCs w:val="28"/>
          <w:lang w:val="uk-UA"/>
        </w:rPr>
      </w:pPr>
      <w:r w:rsidRPr="0051575F">
        <w:rPr>
          <w:sz w:val="28"/>
          <w:szCs w:val="28"/>
          <w:lang w:val="uk-UA"/>
        </w:rPr>
        <w:t>Додаткові з</w:t>
      </w:r>
      <w:r w:rsidR="004B5291" w:rsidRPr="0051575F">
        <w:rPr>
          <w:sz w:val="28"/>
          <w:szCs w:val="28"/>
          <w:lang w:val="uk-UA"/>
        </w:rPr>
        <w:t>аходи, що пропонуються для розв’язання проблеми:</w:t>
      </w:r>
    </w:p>
    <w:p w14:paraId="02A07055" w14:textId="679D7608" w:rsidR="00040737" w:rsidRPr="0051575F" w:rsidRDefault="001D6F9F" w:rsidP="00040737">
      <w:pPr>
        <w:tabs>
          <w:tab w:val="left" w:pos="720"/>
        </w:tabs>
        <w:spacing w:after="60" w:line="276" w:lineRule="auto"/>
        <w:ind w:firstLine="720"/>
        <w:contextualSpacing/>
        <w:jc w:val="both"/>
        <w:rPr>
          <w:sz w:val="32"/>
          <w:szCs w:val="28"/>
          <w:lang w:val="uk-UA"/>
        </w:rPr>
      </w:pPr>
      <w:r w:rsidRPr="0051575F">
        <w:rPr>
          <w:sz w:val="28"/>
          <w:szCs w:val="28"/>
          <w:lang w:val="uk-UA"/>
        </w:rPr>
        <w:t>розробка</w:t>
      </w:r>
      <w:r w:rsidR="004B5291" w:rsidRPr="0051575F">
        <w:rPr>
          <w:sz w:val="28"/>
          <w:szCs w:val="28"/>
          <w:lang w:val="uk-UA"/>
        </w:rPr>
        <w:t xml:space="preserve"> </w:t>
      </w:r>
      <w:proofErr w:type="spellStart"/>
      <w:r w:rsidR="009C2C13">
        <w:rPr>
          <w:sz w:val="28"/>
          <w:szCs w:val="28"/>
          <w:lang w:val="uk-UA"/>
        </w:rPr>
        <w:t>проєкт</w:t>
      </w:r>
      <w:r w:rsidRPr="0051575F">
        <w:rPr>
          <w:sz w:val="28"/>
          <w:szCs w:val="28"/>
          <w:lang w:val="uk-UA"/>
        </w:rPr>
        <w:t>ів</w:t>
      </w:r>
      <w:proofErr w:type="spellEnd"/>
      <w:r w:rsidR="004B5291" w:rsidRPr="0051575F">
        <w:rPr>
          <w:sz w:val="28"/>
          <w:szCs w:val="28"/>
          <w:lang w:val="uk-UA"/>
        </w:rPr>
        <w:t xml:space="preserve"> </w:t>
      </w:r>
      <w:r w:rsidRPr="0051575F">
        <w:rPr>
          <w:sz w:val="28"/>
          <w:szCs w:val="28"/>
          <w:lang w:val="uk-UA"/>
        </w:rPr>
        <w:t xml:space="preserve">наказів </w:t>
      </w:r>
      <w:r w:rsidR="006369EB">
        <w:rPr>
          <w:sz w:val="28"/>
          <w:szCs w:val="28"/>
          <w:lang w:val="uk-UA"/>
        </w:rPr>
        <w:t>Мі</w:t>
      </w:r>
      <w:r w:rsidR="00176543">
        <w:rPr>
          <w:sz w:val="28"/>
          <w:szCs w:val="28"/>
          <w:lang w:val="uk-UA"/>
        </w:rPr>
        <w:t xml:space="preserve">ністерства </w:t>
      </w:r>
      <w:r w:rsidR="007A1AEE">
        <w:rPr>
          <w:sz w:val="28"/>
          <w:szCs w:val="28"/>
          <w:lang w:val="uk-UA"/>
        </w:rPr>
        <w:t>енергетик</w:t>
      </w:r>
      <w:r w:rsidR="009C5A0E">
        <w:rPr>
          <w:sz w:val="28"/>
          <w:szCs w:val="28"/>
          <w:lang w:val="uk-UA"/>
        </w:rPr>
        <w:t xml:space="preserve">и та захисту довкілля </w:t>
      </w:r>
      <w:r w:rsidRPr="0051575F">
        <w:rPr>
          <w:sz w:val="28"/>
          <w:szCs w:val="28"/>
          <w:lang w:val="uk-UA"/>
        </w:rPr>
        <w:t xml:space="preserve">«Про </w:t>
      </w:r>
      <w:r w:rsidR="00040737" w:rsidRPr="0051575F">
        <w:rPr>
          <w:sz w:val="28"/>
          <w:szCs w:val="28"/>
          <w:lang w:val="uk-UA"/>
        </w:rPr>
        <w:t>затвердження</w:t>
      </w:r>
      <w:r w:rsidRPr="0051575F">
        <w:rPr>
          <w:sz w:val="28"/>
          <w:szCs w:val="28"/>
          <w:lang w:val="uk-UA"/>
        </w:rPr>
        <w:t xml:space="preserve"> Інструкції з організації проведення </w:t>
      </w:r>
      <w:r w:rsidR="00040737" w:rsidRPr="0051575F">
        <w:rPr>
          <w:sz w:val="28"/>
          <w:szCs w:val="28"/>
          <w:lang w:val="uk-UA"/>
        </w:rPr>
        <w:t>заходів державного енергетичного нагляду (контролю)</w:t>
      </w:r>
      <w:r w:rsidRPr="0051575F">
        <w:rPr>
          <w:sz w:val="28"/>
          <w:szCs w:val="28"/>
          <w:lang w:val="uk-UA"/>
        </w:rPr>
        <w:t xml:space="preserve"> </w:t>
      </w:r>
      <w:r w:rsidR="00040737" w:rsidRPr="0051575F">
        <w:rPr>
          <w:sz w:val="28"/>
          <w:szCs w:val="28"/>
          <w:lang w:val="uk-UA"/>
        </w:rPr>
        <w:t xml:space="preserve">за суб’єктами електроенергетики, суб’єктами відносин у сфері теплопостачання, споживачами електричної енергії </w:t>
      </w:r>
      <w:r w:rsidRPr="0051575F">
        <w:rPr>
          <w:sz w:val="28"/>
          <w:szCs w:val="28"/>
          <w:lang w:val="uk-UA"/>
        </w:rPr>
        <w:t>та оформлення їх результатів</w:t>
      </w:r>
      <w:r w:rsidR="00040737" w:rsidRPr="0051575F">
        <w:rPr>
          <w:sz w:val="28"/>
          <w:szCs w:val="28"/>
          <w:lang w:val="uk-UA"/>
        </w:rPr>
        <w:t>» та «Про затвердження</w:t>
      </w:r>
      <w:r w:rsidRPr="0051575F">
        <w:rPr>
          <w:rStyle w:val="rvts23"/>
          <w:sz w:val="28"/>
          <w:lang w:val="uk-UA"/>
        </w:rPr>
        <w:t xml:space="preserve"> </w:t>
      </w:r>
      <w:proofErr w:type="spellStart"/>
      <w:r w:rsidRPr="0051575F">
        <w:rPr>
          <w:rStyle w:val="rvts23"/>
          <w:sz w:val="28"/>
          <w:lang w:val="uk-UA"/>
        </w:rPr>
        <w:t>Акта</w:t>
      </w:r>
      <w:proofErr w:type="spellEnd"/>
      <w:r w:rsidRPr="0051575F">
        <w:rPr>
          <w:rStyle w:val="rvts23"/>
          <w:sz w:val="28"/>
          <w:lang w:val="uk-UA"/>
        </w:rPr>
        <w:t xml:space="preserve"> здійснення заходу з державного е</w:t>
      </w:r>
      <w:r w:rsidR="00040737" w:rsidRPr="0051575F">
        <w:rPr>
          <w:rStyle w:val="rvts23"/>
          <w:sz w:val="28"/>
          <w:lang w:val="uk-UA"/>
        </w:rPr>
        <w:t xml:space="preserve">нергетичного нагляду (контролю)» на заміну наказів </w:t>
      </w:r>
      <w:r w:rsidR="00040737" w:rsidRPr="0051575F">
        <w:rPr>
          <w:sz w:val="28"/>
          <w:szCs w:val="28"/>
          <w:lang w:val="uk-UA"/>
        </w:rPr>
        <w:t>Мінпаливенерго України від 24.12.2004 № 817 та від</w:t>
      </w:r>
      <w:r w:rsidR="00040737" w:rsidRPr="0051575F">
        <w:rPr>
          <w:rStyle w:val="rvts23"/>
          <w:sz w:val="28"/>
          <w:lang w:val="uk-UA"/>
        </w:rPr>
        <w:t xml:space="preserve"> </w:t>
      </w:r>
      <w:r w:rsidR="00040737" w:rsidRPr="0051575F">
        <w:rPr>
          <w:rStyle w:val="rvts9"/>
          <w:sz w:val="28"/>
          <w:lang w:val="uk-UA"/>
        </w:rPr>
        <w:t>15.11.2010  № 473.</w:t>
      </w:r>
    </w:p>
    <w:p w14:paraId="60022779" w14:textId="77777777" w:rsidR="00062F40" w:rsidRPr="0051575F" w:rsidRDefault="00040737" w:rsidP="001D6F9F">
      <w:pPr>
        <w:tabs>
          <w:tab w:val="left" w:pos="720"/>
        </w:tabs>
        <w:spacing w:after="60" w:line="276" w:lineRule="auto"/>
        <w:ind w:firstLine="720"/>
        <w:contextualSpacing/>
        <w:jc w:val="both"/>
        <w:rPr>
          <w:b/>
          <w:sz w:val="18"/>
          <w:szCs w:val="28"/>
          <w:lang w:val="uk-UA"/>
        </w:rPr>
      </w:pPr>
      <w:r w:rsidRPr="0051575F">
        <w:rPr>
          <w:rStyle w:val="rvts9"/>
          <w:sz w:val="18"/>
          <w:lang w:val="uk-UA"/>
        </w:rPr>
        <w:t xml:space="preserve"> </w:t>
      </w:r>
    </w:p>
    <w:p w14:paraId="4DB12872" w14:textId="77777777" w:rsidR="00FC2EEF" w:rsidRPr="0051575F" w:rsidRDefault="00122288" w:rsidP="001D6F9F">
      <w:pPr>
        <w:tabs>
          <w:tab w:val="left" w:pos="720"/>
        </w:tabs>
        <w:spacing w:after="60" w:line="276" w:lineRule="auto"/>
        <w:ind w:firstLine="720"/>
        <w:contextualSpacing/>
        <w:jc w:val="center"/>
        <w:rPr>
          <w:b/>
          <w:sz w:val="28"/>
          <w:szCs w:val="28"/>
          <w:lang w:val="uk-UA"/>
        </w:rPr>
      </w:pPr>
      <w:r w:rsidRPr="0051575F">
        <w:rPr>
          <w:b/>
          <w:sz w:val="28"/>
          <w:szCs w:val="28"/>
          <w:lang w:val="uk-UA"/>
        </w:rPr>
        <w:t>VI</w:t>
      </w:r>
      <w:r w:rsidR="004E3BF3" w:rsidRPr="0051575F">
        <w:rPr>
          <w:b/>
          <w:sz w:val="28"/>
          <w:szCs w:val="28"/>
          <w:lang w:val="uk-UA"/>
        </w:rPr>
        <w:t xml:space="preserve">. </w:t>
      </w:r>
      <w:r w:rsidR="00FC2EEF" w:rsidRPr="0051575F">
        <w:rPr>
          <w:b/>
          <w:sz w:val="28"/>
          <w:szCs w:val="28"/>
          <w:lang w:val="uk-UA"/>
        </w:rPr>
        <w:t xml:space="preserve">Оцінка виконання вимог регуляторного </w:t>
      </w:r>
      <w:proofErr w:type="spellStart"/>
      <w:r w:rsidR="00FC2EEF" w:rsidRPr="0051575F">
        <w:rPr>
          <w:b/>
          <w:sz w:val="28"/>
          <w:szCs w:val="28"/>
          <w:lang w:val="uk-UA"/>
        </w:rPr>
        <w:t>акта</w:t>
      </w:r>
      <w:proofErr w:type="spellEnd"/>
      <w:r w:rsidR="00FC2EEF" w:rsidRPr="0051575F">
        <w:rPr>
          <w:b/>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06985F1" w14:textId="77777777" w:rsidR="00ED03C9" w:rsidRPr="0051575F" w:rsidRDefault="00B54470" w:rsidP="00B54470">
      <w:pPr>
        <w:spacing w:after="60" w:line="276" w:lineRule="auto"/>
        <w:ind w:firstLine="720"/>
        <w:contextualSpacing/>
        <w:jc w:val="both"/>
        <w:rPr>
          <w:sz w:val="28"/>
          <w:szCs w:val="28"/>
          <w:lang w:val="uk-UA"/>
        </w:rPr>
      </w:pPr>
      <w:r w:rsidRPr="0051575F">
        <w:rPr>
          <w:sz w:val="28"/>
          <w:szCs w:val="28"/>
          <w:lang w:val="uk-UA"/>
        </w:rPr>
        <w:t xml:space="preserve">Оскільки прийняття регуляторного </w:t>
      </w:r>
      <w:proofErr w:type="spellStart"/>
      <w:r w:rsidRPr="0051575F">
        <w:rPr>
          <w:sz w:val="28"/>
          <w:szCs w:val="28"/>
          <w:lang w:val="uk-UA"/>
        </w:rPr>
        <w:t>акта</w:t>
      </w:r>
      <w:proofErr w:type="spellEnd"/>
      <w:r w:rsidRPr="0051575F">
        <w:rPr>
          <w:sz w:val="28"/>
          <w:szCs w:val="28"/>
          <w:lang w:val="uk-UA"/>
        </w:rPr>
        <w:t xml:space="preserve"> не передбачає витрат держави та </w:t>
      </w:r>
      <w:r w:rsidR="00914216" w:rsidRPr="0051575F">
        <w:rPr>
          <w:sz w:val="28"/>
          <w:szCs w:val="28"/>
          <w:lang w:val="uk-UA"/>
        </w:rPr>
        <w:t>суб’єктів господарювання (</w:t>
      </w:r>
      <w:r w:rsidR="00730365" w:rsidRPr="0051575F">
        <w:rPr>
          <w:sz w:val="28"/>
          <w:szCs w:val="28"/>
          <w:lang w:val="uk-UA"/>
        </w:rPr>
        <w:t>великих, середніх</w:t>
      </w:r>
      <w:r w:rsidR="00914216" w:rsidRPr="0051575F">
        <w:rPr>
          <w:sz w:val="28"/>
          <w:szCs w:val="28"/>
          <w:lang w:val="uk-UA"/>
        </w:rPr>
        <w:t xml:space="preserve"> та малого бізнесу) на його впровадження,</w:t>
      </w:r>
      <w:r w:rsidRPr="0051575F">
        <w:rPr>
          <w:sz w:val="28"/>
          <w:szCs w:val="28"/>
          <w:lang w:val="uk-UA"/>
        </w:rPr>
        <w:t xml:space="preserve"> </w:t>
      </w:r>
      <w:r w:rsidR="00914216" w:rsidRPr="0051575F">
        <w:rPr>
          <w:sz w:val="28"/>
          <w:szCs w:val="28"/>
          <w:lang w:val="uk-UA"/>
        </w:rPr>
        <w:t xml:space="preserve">проведення </w:t>
      </w:r>
      <w:r w:rsidR="00ED03C9" w:rsidRPr="0051575F">
        <w:rPr>
          <w:sz w:val="28"/>
          <w:szCs w:val="28"/>
          <w:lang w:val="uk-UA"/>
        </w:rPr>
        <w:t>тест</w:t>
      </w:r>
      <w:r w:rsidR="00914216" w:rsidRPr="0051575F">
        <w:rPr>
          <w:sz w:val="28"/>
          <w:szCs w:val="28"/>
          <w:lang w:val="uk-UA"/>
        </w:rPr>
        <w:t>у</w:t>
      </w:r>
      <w:r w:rsidR="00ED03C9" w:rsidRPr="0051575F">
        <w:rPr>
          <w:sz w:val="28"/>
          <w:szCs w:val="28"/>
          <w:lang w:val="uk-UA"/>
        </w:rPr>
        <w:t xml:space="preserve"> малого підприємництва (М-Тест) відповідно до додатк</w:t>
      </w:r>
      <w:r w:rsidR="00FD11F3" w:rsidRPr="0051575F">
        <w:rPr>
          <w:sz w:val="28"/>
          <w:szCs w:val="28"/>
          <w:lang w:val="uk-UA"/>
        </w:rPr>
        <w:t>а</w:t>
      </w:r>
      <w:r w:rsidR="00ED03C9" w:rsidRPr="0051575F">
        <w:rPr>
          <w:sz w:val="28"/>
          <w:szCs w:val="28"/>
          <w:lang w:val="uk-UA"/>
        </w:rPr>
        <w:t xml:space="preserve"> 4 Методики проведення аналізу впливу регуляторного </w:t>
      </w:r>
      <w:proofErr w:type="spellStart"/>
      <w:r w:rsidR="00ED03C9" w:rsidRPr="0051575F">
        <w:rPr>
          <w:sz w:val="28"/>
          <w:szCs w:val="28"/>
          <w:lang w:val="uk-UA"/>
        </w:rPr>
        <w:t>акта</w:t>
      </w:r>
      <w:proofErr w:type="spellEnd"/>
      <w:r w:rsidR="00914216" w:rsidRPr="0051575F">
        <w:rPr>
          <w:sz w:val="28"/>
          <w:szCs w:val="28"/>
          <w:lang w:val="uk-UA"/>
        </w:rPr>
        <w:t xml:space="preserve"> не потребується</w:t>
      </w:r>
      <w:r w:rsidR="00ED03C9" w:rsidRPr="0051575F">
        <w:rPr>
          <w:sz w:val="28"/>
          <w:szCs w:val="28"/>
          <w:lang w:val="uk-UA"/>
        </w:rPr>
        <w:t>.</w:t>
      </w:r>
      <w:r w:rsidR="004B4C0F" w:rsidRPr="0051575F">
        <w:rPr>
          <w:sz w:val="28"/>
          <w:szCs w:val="28"/>
          <w:lang w:val="uk-UA"/>
        </w:rPr>
        <w:t xml:space="preserve"> </w:t>
      </w:r>
    </w:p>
    <w:p w14:paraId="0B4430F1" w14:textId="77777777" w:rsidR="000F6EC0" w:rsidRPr="0051575F" w:rsidRDefault="000F6EC0" w:rsidP="001D6F9F">
      <w:pPr>
        <w:tabs>
          <w:tab w:val="left" w:pos="720"/>
        </w:tabs>
        <w:spacing w:after="60" w:line="276" w:lineRule="auto"/>
        <w:ind w:firstLine="720"/>
        <w:contextualSpacing/>
        <w:jc w:val="both"/>
        <w:rPr>
          <w:b/>
          <w:sz w:val="18"/>
          <w:szCs w:val="28"/>
          <w:lang w:val="uk-UA"/>
        </w:rPr>
      </w:pPr>
    </w:p>
    <w:p w14:paraId="52163E7A" w14:textId="77777777" w:rsidR="00EE4A60" w:rsidRPr="0051575F" w:rsidRDefault="00CE65DA" w:rsidP="004B4C0F">
      <w:pPr>
        <w:tabs>
          <w:tab w:val="left" w:pos="720"/>
        </w:tabs>
        <w:spacing w:after="60" w:line="276" w:lineRule="auto"/>
        <w:ind w:firstLine="142"/>
        <w:contextualSpacing/>
        <w:jc w:val="center"/>
        <w:rPr>
          <w:b/>
          <w:sz w:val="28"/>
          <w:szCs w:val="28"/>
          <w:lang w:val="uk-UA"/>
        </w:rPr>
      </w:pPr>
      <w:r w:rsidRPr="0051575F">
        <w:rPr>
          <w:b/>
          <w:sz w:val="28"/>
          <w:szCs w:val="28"/>
          <w:lang w:val="uk-UA"/>
        </w:rPr>
        <w:t>VII</w:t>
      </w:r>
      <w:r w:rsidR="004E3BF3" w:rsidRPr="0051575F">
        <w:rPr>
          <w:b/>
          <w:sz w:val="28"/>
          <w:szCs w:val="28"/>
          <w:lang w:val="uk-UA"/>
        </w:rPr>
        <w:t xml:space="preserve">. </w:t>
      </w:r>
      <w:r w:rsidRPr="0051575F">
        <w:rPr>
          <w:b/>
          <w:sz w:val="28"/>
          <w:szCs w:val="28"/>
          <w:lang w:val="uk-UA"/>
        </w:rPr>
        <w:t>Обґрунтування запропонованого с</w:t>
      </w:r>
      <w:r w:rsidR="00EE4A60" w:rsidRPr="0051575F">
        <w:rPr>
          <w:b/>
          <w:sz w:val="28"/>
          <w:szCs w:val="28"/>
          <w:lang w:val="uk-UA"/>
        </w:rPr>
        <w:t>трок</w:t>
      </w:r>
      <w:r w:rsidRPr="0051575F">
        <w:rPr>
          <w:b/>
          <w:sz w:val="28"/>
          <w:szCs w:val="28"/>
          <w:lang w:val="uk-UA"/>
        </w:rPr>
        <w:t>у</w:t>
      </w:r>
      <w:r w:rsidR="00EE4A60" w:rsidRPr="0051575F">
        <w:rPr>
          <w:b/>
          <w:sz w:val="28"/>
          <w:szCs w:val="28"/>
          <w:lang w:val="uk-UA"/>
        </w:rPr>
        <w:t xml:space="preserve"> дії регуляторного </w:t>
      </w:r>
      <w:proofErr w:type="spellStart"/>
      <w:r w:rsidR="00EE4A60" w:rsidRPr="0051575F">
        <w:rPr>
          <w:b/>
          <w:sz w:val="28"/>
          <w:szCs w:val="28"/>
          <w:lang w:val="uk-UA"/>
        </w:rPr>
        <w:t>акт</w:t>
      </w:r>
      <w:r w:rsidR="004B4C0F" w:rsidRPr="0051575F">
        <w:rPr>
          <w:b/>
          <w:sz w:val="28"/>
          <w:szCs w:val="28"/>
          <w:lang w:val="uk-UA"/>
        </w:rPr>
        <w:t>а</w:t>
      </w:r>
      <w:proofErr w:type="spellEnd"/>
    </w:p>
    <w:p w14:paraId="3A67BF9D" w14:textId="77777777" w:rsidR="00A9408C" w:rsidRPr="0051575F" w:rsidRDefault="00A9408C" w:rsidP="001D6F9F">
      <w:pPr>
        <w:spacing w:line="276" w:lineRule="auto"/>
        <w:ind w:firstLine="540"/>
        <w:jc w:val="both"/>
        <w:rPr>
          <w:sz w:val="28"/>
          <w:szCs w:val="28"/>
          <w:lang w:val="uk-UA"/>
        </w:rPr>
      </w:pPr>
      <w:r w:rsidRPr="0051575F">
        <w:rPr>
          <w:sz w:val="28"/>
          <w:szCs w:val="28"/>
          <w:lang w:val="uk-UA"/>
        </w:rPr>
        <w:t xml:space="preserve">Термін дії нормативно-правового </w:t>
      </w:r>
      <w:proofErr w:type="spellStart"/>
      <w:r w:rsidRPr="0051575F">
        <w:rPr>
          <w:sz w:val="28"/>
          <w:szCs w:val="28"/>
          <w:lang w:val="uk-UA"/>
        </w:rPr>
        <w:t>акта</w:t>
      </w:r>
      <w:proofErr w:type="spellEnd"/>
      <w:r w:rsidRPr="0051575F">
        <w:rPr>
          <w:sz w:val="28"/>
          <w:szCs w:val="28"/>
          <w:lang w:val="uk-UA"/>
        </w:rPr>
        <w:t xml:space="preserve"> не обмежений у часі.</w:t>
      </w:r>
    </w:p>
    <w:p w14:paraId="392EB617" w14:textId="2E7A1D22" w:rsidR="00A9408C" w:rsidRPr="0051575F" w:rsidRDefault="00A9408C" w:rsidP="001D6F9F">
      <w:pPr>
        <w:spacing w:line="276" w:lineRule="auto"/>
        <w:ind w:firstLine="540"/>
        <w:jc w:val="both"/>
        <w:rPr>
          <w:sz w:val="28"/>
          <w:szCs w:val="28"/>
          <w:lang w:val="uk-UA"/>
        </w:rPr>
      </w:pPr>
      <w:r w:rsidRPr="0051575F">
        <w:rPr>
          <w:sz w:val="28"/>
          <w:szCs w:val="28"/>
          <w:lang w:val="uk-UA"/>
        </w:rPr>
        <w:t xml:space="preserve">Зміна терміну дії </w:t>
      </w:r>
      <w:proofErr w:type="spellStart"/>
      <w:r w:rsidRPr="0051575F">
        <w:rPr>
          <w:sz w:val="28"/>
          <w:szCs w:val="28"/>
          <w:lang w:val="uk-UA"/>
        </w:rPr>
        <w:t>акта</w:t>
      </w:r>
      <w:proofErr w:type="spellEnd"/>
      <w:r w:rsidRPr="0051575F">
        <w:rPr>
          <w:sz w:val="28"/>
          <w:szCs w:val="28"/>
          <w:lang w:val="uk-UA"/>
        </w:rPr>
        <w:t xml:space="preserve"> можлива в разі зміни правових актів вищої юридичної сили, на вимогах яких базується </w:t>
      </w:r>
      <w:proofErr w:type="spellStart"/>
      <w:r w:rsidR="009C2C13">
        <w:rPr>
          <w:sz w:val="28"/>
          <w:szCs w:val="28"/>
          <w:lang w:val="uk-UA"/>
        </w:rPr>
        <w:t>проєкт</w:t>
      </w:r>
      <w:proofErr w:type="spellEnd"/>
      <w:r w:rsidRPr="0051575F">
        <w:rPr>
          <w:sz w:val="28"/>
          <w:szCs w:val="28"/>
          <w:lang w:val="uk-UA"/>
        </w:rPr>
        <w:t xml:space="preserve"> регуляторного </w:t>
      </w:r>
      <w:proofErr w:type="spellStart"/>
      <w:r w:rsidRPr="0051575F">
        <w:rPr>
          <w:sz w:val="28"/>
          <w:szCs w:val="28"/>
          <w:lang w:val="uk-UA"/>
        </w:rPr>
        <w:t>акт</w:t>
      </w:r>
      <w:r w:rsidR="00F32326" w:rsidRPr="0051575F">
        <w:rPr>
          <w:sz w:val="28"/>
          <w:szCs w:val="28"/>
          <w:lang w:val="uk-UA"/>
        </w:rPr>
        <w:t>а</w:t>
      </w:r>
      <w:proofErr w:type="spellEnd"/>
      <w:r w:rsidRPr="0051575F">
        <w:rPr>
          <w:sz w:val="28"/>
          <w:szCs w:val="28"/>
          <w:lang w:val="uk-UA"/>
        </w:rPr>
        <w:t>.</w:t>
      </w:r>
    </w:p>
    <w:p w14:paraId="500C51D8" w14:textId="77777777" w:rsidR="00A9408C" w:rsidRPr="0051575F" w:rsidRDefault="00A9408C" w:rsidP="001D6F9F">
      <w:pPr>
        <w:spacing w:line="276" w:lineRule="auto"/>
        <w:ind w:firstLine="540"/>
        <w:jc w:val="both"/>
        <w:rPr>
          <w:sz w:val="28"/>
          <w:szCs w:val="28"/>
          <w:lang w:val="uk-UA"/>
        </w:rPr>
      </w:pPr>
      <w:r w:rsidRPr="0051575F">
        <w:rPr>
          <w:sz w:val="28"/>
          <w:szCs w:val="28"/>
          <w:lang w:val="uk-UA"/>
        </w:rPr>
        <w:t>Термін набрання чинності регуляторним актом – відповідно до законодавства після його офіційного оприлюднення.</w:t>
      </w:r>
    </w:p>
    <w:p w14:paraId="03AC9BDF" w14:textId="77777777" w:rsidR="0094341A" w:rsidRPr="0051575F" w:rsidRDefault="0094341A" w:rsidP="001D6F9F">
      <w:pPr>
        <w:spacing w:line="276" w:lineRule="auto"/>
        <w:ind w:firstLine="540"/>
        <w:jc w:val="center"/>
        <w:rPr>
          <w:b/>
          <w:sz w:val="18"/>
          <w:szCs w:val="28"/>
          <w:lang w:val="uk-UA"/>
        </w:rPr>
      </w:pPr>
    </w:p>
    <w:p w14:paraId="0FE469AB" w14:textId="77777777" w:rsidR="00733C38" w:rsidRPr="0051575F" w:rsidRDefault="00CE65DA" w:rsidP="001D6F9F">
      <w:pPr>
        <w:spacing w:line="276" w:lineRule="auto"/>
        <w:ind w:firstLine="540"/>
        <w:jc w:val="center"/>
        <w:rPr>
          <w:b/>
          <w:sz w:val="28"/>
          <w:szCs w:val="28"/>
          <w:lang w:val="uk-UA"/>
        </w:rPr>
      </w:pPr>
      <w:r w:rsidRPr="0051575F">
        <w:rPr>
          <w:b/>
          <w:sz w:val="28"/>
          <w:szCs w:val="28"/>
          <w:lang w:val="uk-UA"/>
        </w:rPr>
        <w:t>VIII</w:t>
      </w:r>
      <w:r w:rsidR="004E3BF3" w:rsidRPr="0051575F">
        <w:rPr>
          <w:b/>
          <w:sz w:val="28"/>
          <w:szCs w:val="28"/>
          <w:lang w:val="uk-UA"/>
        </w:rPr>
        <w:t xml:space="preserve">. </w:t>
      </w:r>
      <w:r w:rsidR="000D55E1" w:rsidRPr="0051575F">
        <w:rPr>
          <w:b/>
          <w:sz w:val="28"/>
          <w:szCs w:val="28"/>
          <w:lang w:val="uk-UA"/>
        </w:rPr>
        <w:t>Визначення п</w:t>
      </w:r>
      <w:r w:rsidR="00664EFF" w:rsidRPr="0051575F">
        <w:rPr>
          <w:b/>
          <w:sz w:val="28"/>
          <w:szCs w:val="28"/>
          <w:lang w:val="uk-UA"/>
        </w:rPr>
        <w:t xml:space="preserve">оказників результативності </w:t>
      </w:r>
      <w:r w:rsidRPr="0051575F">
        <w:rPr>
          <w:b/>
          <w:sz w:val="28"/>
          <w:szCs w:val="28"/>
          <w:lang w:val="uk-UA"/>
        </w:rPr>
        <w:t xml:space="preserve">дії регуляторного </w:t>
      </w:r>
      <w:proofErr w:type="spellStart"/>
      <w:r w:rsidR="00664EFF" w:rsidRPr="0051575F">
        <w:rPr>
          <w:b/>
          <w:sz w:val="28"/>
          <w:szCs w:val="28"/>
          <w:lang w:val="uk-UA"/>
        </w:rPr>
        <w:t>акта</w:t>
      </w:r>
      <w:proofErr w:type="spellEnd"/>
    </w:p>
    <w:p w14:paraId="48B68CAD" w14:textId="77777777" w:rsidR="00CE1C31" w:rsidRPr="0051575F" w:rsidRDefault="00CE1C31" w:rsidP="00CE1C31">
      <w:pPr>
        <w:tabs>
          <w:tab w:val="left" w:pos="720"/>
        </w:tabs>
        <w:spacing w:after="60" w:line="276" w:lineRule="auto"/>
        <w:ind w:firstLine="720"/>
        <w:contextualSpacing/>
        <w:jc w:val="both"/>
        <w:rPr>
          <w:sz w:val="28"/>
          <w:szCs w:val="28"/>
          <w:lang w:val="uk-UA"/>
        </w:rPr>
      </w:pPr>
      <w:r w:rsidRPr="0051575F">
        <w:rPr>
          <w:sz w:val="28"/>
          <w:szCs w:val="28"/>
          <w:lang w:val="uk-UA"/>
        </w:rPr>
        <w:t xml:space="preserve">Внаслідок дії регуляторного </w:t>
      </w:r>
      <w:proofErr w:type="spellStart"/>
      <w:r w:rsidRPr="0051575F">
        <w:rPr>
          <w:sz w:val="28"/>
          <w:szCs w:val="28"/>
          <w:lang w:val="uk-UA"/>
        </w:rPr>
        <w:t>акта</w:t>
      </w:r>
      <w:proofErr w:type="spellEnd"/>
      <w:r w:rsidRPr="0051575F">
        <w:rPr>
          <w:sz w:val="28"/>
          <w:szCs w:val="28"/>
          <w:lang w:val="uk-UA"/>
        </w:rPr>
        <w:t xml:space="preserve"> суб’єкти господарювання не несуть додаткових витрат на придбання основних фондів, обладнання та приладів, сервісне обслуговування, не виникає необхідність у сплаті податків/зборів чи зміні їх розміру тощо.</w:t>
      </w:r>
    </w:p>
    <w:p w14:paraId="1E3FB499" w14:textId="77777777" w:rsidR="00055BC0" w:rsidRPr="0051575F" w:rsidRDefault="00CE1C31" w:rsidP="00CE1C31">
      <w:pPr>
        <w:tabs>
          <w:tab w:val="left" w:pos="720"/>
        </w:tabs>
        <w:spacing w:after="60" w:line="276" w:lineRule="auto"/>
        <w:ind w:firstLine="567"/>
        <w:contextualSpacing/>
        <w:rPr>
          <w:sz w:val="28"/>
          <w:szCs w:val="28"/>
          <w:lang w:val="uk-UA"/>
        </w:rPr>
      </w:pPr>
      <w:r w:rsidRPr="0051575F">
        <w:rPr>
          <w:sz w:val="28"/>
          <w:szCs w:val="28"/>
          <w:lang w:val="uk-UA"/>
        </w:rPr>
        <w:t>Прогнозовані п</w:t>
      </w:r>
      <w:r w:rsidR="00055BC0" w:rsidRPr="0051575F">
        <w:rPr>
          <w:sz w:val="28"/>
          <w:szCs w:val="28"/>
          <w:lang w:val="uk-UA"/>
        </w:rPr>
        <w:t xml:space="preserve">оказники результативності регуляторного </w:t>
      </w:r>
      <w:proofErr w:type="spellStart"/>
      <w:r w:rsidR="00055BC0" w:rsidRPr="0051575F">
        <w:rPr>
          <w:sz w:val="28"/>
          <w:szCs w:val="28"/>
          <w:lang w:val="uk-UA"/>
        </w:rPr>
        <w:t>акта</w:t>
      </w:r>
      <w:proofErr w:type="spellEnd"/>
      <w:r w:rsidR="00055BC0" w:rsidRPr="0051575F">
        <w:rPr>
          <w:sz w:val="28"/>
          <w:szCs w:val="28"/>
          <w:lang w:val="uk-UA"/>
        </w:rPr>
        <w:t>:</w:t>
      </w:r>
    </w:p>
    <w:p w14:paraId="0D000CB4" w14:textId="77777777" w:rsidR="00107C21" w:rsidRPr="0051575F" w:rsidRDefault="00107C21" w:rsidP="001D6F9F">
      <w:pPr>
        <w:tabs>
          <w:tab w:val="left" w:pos="720"/>
        </w:tabs>
        <w:spacing w:after="60" w:line="276" w:lineRule="auto"/>
        <w:ind w:firstLine="720"/>
        <w:contextualSpacing/>
        <w:jc w:val="both"/>
        <w:rPr>
          <w:sz w:val="28"/>
          <w:szCs w:val="28"/>
          <w:lang w:val="uk-UA"/>
        </w:rPr>
      </w:pPr>
      <w:r w:rsidRPr="0051575F">
        <w:rPr>
          <w:sz w:val="28"/>
          <w:szCs w:val="28"/>
          <w:lang w:val="uk-UA"/>
        </w:rPr>
        <w:t>- зниження кількості проведених планових перевірок суб</w:t>
      </w:r>
      <w:r w:rsidR="00757C24" w:rsidRPr="0051575F">
        <w:rPr>
          <w:sz w:val="28"/>
          <w:szCs w:val="28"/>
          <w:lang w:val="uk-UA"/>
        </w:rPr>
        <w:t>’</w:t>
      </w:r>
      <w:r w:rsidRPr="0051575F">
        <w:rPr>
          <w:sz w:val="28"/>
          <w:szCs w:val="28"/>
          <w:lang w:val="uk-UA"/>
        </w:rPr>
        <w:t xml:space="preserve">єктів господарювання посадовими особами </w:t>
      </w:r>
      <w:proofErr w:type="spellStart"/>
      <w:r w:rsidR="00F32326" w:rsidRPr="0051575F">
        <w:rPr>
          <w:sz w:val="28"/>
          <w:szCs w:val="28"/>
          <w:lang w:val="uk-UA"/>
        </w:rPr>
        <w:t>Держенергонагляду</w:t>
      </w:r>
      <w:proofErr w:type="spellEnd"/>
      <w:r w:rsidRPr="0051575F">
        <w:rPr>
          <w:sz w:val="28"/>
          <w:szCs w:val="28"/>
          <w:lang w:val="uk-UA"/>
        </w:rPr>
        <w:t xml:space="preserve"> з питань дотримання законодавства </w:t>
      </w:r>
      <w:r w:rsidR="00F32326" w:rsidRPr="0051575F">
        <w:rPr>
          <w:rFonts w:eastAsia="Times New Roman"/>
          <w:sz w:val="28"/>
          <w:lang w:val="uk-UA" w:eastAsia="uk-UA"/>
        </w:rPr>
        <w:t>у галузі електроенергетики та сфері теплопостачання</w:t>
      </w:r>
      <w:r w:rsidRPr="0051575F">
        <w:rPr>
          <w:sz w:val="28"/>
          <w:szCs w:val="28"/>
          <w:lang w:val="uk-UA"/>
        </w:rPr>
        <w:t>;</w:t>
      </w:r>
    </w:p>
    <w:p w14:paraId="55F414EE" w14:textId="77777777" w:rsidR="00B368C2" w:rsidRPr="0051575F" w:rsidRDefault="00B368C2" w:rsidP="001D6F9F">
      <w:pPr>
        <w:tabs>
          <w:tab w:val="left" w:pos="720"/>
        </w:tabs>
        <w:spacing w:after="60" w:line="276" w:lineRule="auto"/>
        <w:ind w:firstLine="720"/>
        <w:contextualSpacing/>
        <w:jc w:val="both"/>
        <w:rPr>
          <w:sz w:val="28"/>
          <w:szCs w:val="28"/>
          <w:lang w:val="uk-UA"/>
        </w:rPr>
      </w:pPr>
      <w:r w:rsidRPr="0051575F">
        <w:rPr>
          <w:sz w:val="28"/>
          <w:szCs w:val="28"/>
          <w:lang w:val="uk-UA"/>
        </w:rPr>
        <w:lastRenderedPageBreak/>
        <w:t xml:space="preserve">- </w:t>
      </w:r>
      <w:r w:rsidR="00F32326" w:rsidRPr="0051575F">
        <w:rPr>
          <w:sz w:val="28"/>
          <w:szCs w:val="28"/>
          <w:lang w:val="uk-UA"/>
        </w:rPr>
        <w:t>зниження рівня техногенної небезпеки (аварії/відмови/катастрофи) унаслідок: технологічних порушень роботи електричного обладнання;  порушення правильної експлуатації електричного обладнання; зниження показників якості електроенергії понад граничні рівні; неналежної ліквідації аварійних ситуацій, спричинених надзвичайними ситуаціями природного характеру (шквальний вітер, гроза, ожеледь, паводок); припинення електропостачання енергопостачальником з порушенням вимог нормативних документів.</w:t>
      </w:r>
    </w:p>
    <w:p w14:paraId="0FD3C981" w14:textId="77777777" w:rsidR="003E7BA1" w:rsidRPr="0051575F" w:rsidRDefault="003E7BA1" w:rsidP="001D6F9F">
      <w:pPr>
        <w:tabs>
          <w:tab w:val="left" w:pos="720"/>
        </w:tabs>
        <w:spacing w:after="60" w:line="276" w:lineRule="auto"/>
        <w:ind w:firstLine="720"/>
        <w:contextualSpacing/>
        <w:jc w:val="both"/>
        <w:rPr>
          <w:sz w:val="28"/>
          <w:szCs w:val="28"/>
          <w:lang w:val="uk-UA"/>
        </w:rPr>
      </w:pPr>
      <w:r w:rsidRPr="0051575F">
        <w:rPr>
          <w:sz w:val="28"/>
          <w:szCs w:val="28"/>
          <w:lang w:val="uk-UA"/>
        </w:rPr>
        <w:t>- зменшення скарг, навантаження на суб</w:t>
      </w:r>
      <w:r w:rsidR="009934DD" w:rsidRPr="0051575F">
        <w:rPr>
          <w:sz w:val="28"/>
          <w:szCs w:val="28"/>
          <w:lang w:val="uk-UA"/>
        </w:rPr>
        <w:t>’</w:t>
      </w:r>
      <w:r w:rsidRPr="0051575F">
        <w:rPr>
          <w:sz w:val="28"/>
          <w:szCs w:val="28"/>
          <w:lang w:val="uk-UA"/>
        </w:rPr>
        <w:t>єктів</w:t>
      </w:r>
      <w:r w:rsidR="009934DD" w:rsidRPr="0051575F">
        <w:rPr>
          <w:sz w:val="28"/>
          <w:szCs w:val="28"/>
          <w:lang w:val="uk-UA"/>
        </w:rPr>
        <w:t xml:space="preserve"> господарювання та/або фізичних осіб, на яких поширюється дія </w:t>
      </w:r>
      <w:proofErr w:type="spellStart"/>
      <w:r w:rsidR="009934DD" w:rsidRPr="0051575F">
        <w:rPr>
          <w:sz w:val="28"/>
          <w:szCs w:val="28"/>
          <w:lang w:val="uk-UA"/>
        </w:rPr>
        <w:t>акта</w:t>
      </w:r>
      <w:proofErr w:type="spellEnd"/>
      <w:r w:rsidR="009934DD" w:rsidRPr="0051575F">
        <w:rPr>
          <w:sz w:val="28"/>
          <w:szCs w:val="28"/>
          <w:lang w:val="uk-UA"/>
        </w:rPr>
        <w:t>;</w:t>
      </w:r>
    </w:p>
    <w:p w14:paraId="4AE60193" w14:textId="77777777" w:rsidR="009934DD" w:rsidRPr="0051575F" w:rsidRDefault="009934DD" w:rsidP="001D6F9F">
      <w:pPr>
        <w:tabs>
          <w:tab w:val="left" w:pos="720"/>
        </w:tabs>
        <w:spacing w:after="60" w:line="276" w:lineRule="auto"/>
        <w:ind w:firstLine="720"/>
        <w:contextualSpacing/>
        <w:jc w:val="both"/>
        <w:rPr>
          <w:sz w:val="28"/>
          <w:szCs w:val="28"/>
          <w:lang w:val="uk-UA"/>
        </w:rPr>
      </w:pPr>
      <w:r w:rsidRPr="0051575F">
        <w:rPr>
          <w:sz w:val="28"/>
          <w:szCs w:val="28"/>
          <w:lang w:val="uk-UA"/>
        </w:rPr>
        <w:t>- відсутність скарг (зауважень) на невідповідність положень постанови вимогам законодавства України.</w:t>
      </w:r>
    </w:p>
    <w:p w14:paraId="74D74894" w14:textId="77777777" w:rsidR="0094341A" w:rsidRPr="0051575F" w:rsidRDefault="0094341A" w:rsidP="001D6F9F">
      <w:pPr>
        <w:tabs>
          <w:tab w:val="left" w:pos="720"/>
        </w:tabs>
        <w:spacing w:after="60" w:line="276" w:lineRule="auto"/>
        <w:ind w:firstLine="720"/>
        <w:contextualSpacing/>
        <w:jc w:val="both"/>
        <w:rPr>
          <w:sz w:val="28"/>
          <w:szCs w:val="28"/>
          <w:lang w:val="uk-UA"/>
        </w:rPr>
      </w:pPr>
    </w:p>
    <w:p w14:paraId="0208505A" w14:textId="77777777" w:rsidR="000D55E1" w:rsidRPr="0051575F" w:rsidRDefault="00CE65DA" w:rsidP="001D6F9F">
      <w:pPr>
        <w:tabs>
          <w:tab w:val="left" w:pos="720"/>
        </w:tabs>
        <w:spacing w:after="60" w:line="276" w:lineRule="auto"/>
        <w:ind w:firstLine="720"/>
        <w:contextualSpacing/>
        <w:jc w:val="center"/>
        <w:rPr>
          <w:b/>
          <w:sz w:val="28"/>
          <w:szCs w:val="28"/>
          <w:lang w:val="uk-UA"/>
        </w:rPr>
      </w:pPr>
      <w:r w:rsidRPr="0051575F">
        <w:rPr>
          <w:b/>
          <w:sz w:val="28"/>
          <w:szCs w:val="28"/>
          <w:lang w:val="uk-UA"/>
        </w:rPr>
        <w:t>I</w:t>
      </w:r>
      <w:r w:rsidR="00122288" w:rsidRPr="0051575F">
        <w:rPr>
          <w:b/>
          <w:sz w:val="28"/>
          <w:szCs w:val="28"/>
          <w:lang w:val="uk-UA"/>
        </w:rPr>
        <w:t>X</w:t>
      </w:r>
      <w:r w:rsidR="00EF79D6" w:rsidRPr="0051575F">
        <w:rPr>
          <w:b/>
          <w:sz w:val="28"/>
          <w:szCs w:val="28"/>
          <w:lang w:val="uk-UA"/>
        </w:rPr>
        <w:t xml:space="preserve">. </w:t>
      </w:r>
      <w:r w:rsidR="000D55E1" w:rsidRPr="0051575F">
        <w:rPr>
          <w:b/>
          <w:sz w:val="28"/>
          <w:szCs w:val="28"/>
          <w:lang w:val="uk-UA"/>
        </w:rPr>
        <w:t>Визначення заходів, з</w:t>
      </w:r>
      <w:r w:rsidR="003D071A" w:rsidRPr="0051575F">
        <w:rPr>
          <w:b/>
          <w:sz w:val="28"/>
          <w:szCs w:val="28"/>
          <w:lang w:val="uk-UA"/>
        </w:rPr>
        <w:t>а</w:t>
      </w:r>
      <w:r w:rsidR="000D55E1" w:rsidRPr="0051575F">
        <w:rPr>
          <w:b/>
          <w:sz w:val="28"/>
          <w:szCs w:val="28"/>
          <w:lang w:val="uk-UA"/>
        </w:rPr>
        <w:t xml:space="preserve"> допомогою яких </w:t>
      </w:r>
      <w:r w:rsidRPr="0051575F">
        <w:rPr>
          <w:b/>
          <w:sz w:val="28"/>
          <w:szCs w:val="28"/>
          <w:lang w:val="uk-UA"/>
        </w:rPr>
        <w:t>здійснюватиметься</w:t>
      </w:r>
      <w:r w:rsidR="000D55E1" w:rsidRPr="0051575F">
        <w:rPr>
          <w:b/>
          <w:sz w:val="28"/>
          <w:szCs w:val="28"/>
          <w:lang w:val="uk-UA"/>
        </w:rPr>
        <w:t xml:space="preserve"> відстеження резу</w:t>
      </w:r>
      <w:r w:rsidR="00664EFF" w:rsidRPr="0051575F">
        <w:rPr>
          <w:b/>
          <w:sz w:val="28"/>
          <w:szCs w:val="28"/>
          <w:lang w:val="uk-UA"/>
        </w:rPr>
        <w:t xml:space="preserve">льтативності </w:t>
      </w:r>
      <w:r w:rsidRPr="0051575F">
        <w:rPr>
          <w:b/>
          <w:sz w:val="28"/>
          <w:szCs w:val="28"/>
          <w:lang w:val="uk-UA"/>
        </w:rPr>
        <w:t xml:space="preserve">дії регуляторного </w:t>
      </w:r>
      <w:proofErr w:type="spellStart"/>
      <w:r w:rsidR="00664EFF" w:rsidRPr="0051575F">
        <w:rPr>
          <w:b/>
          <w:sz w:val="28"/>
          <w:szCs w:val="28"/>
          <w:lang w:val="uk-UA"/>
        </w:rPr>
        <w:t>акта</w:t>
      </w:r>
      <w:proofErr w:type="spellEnd"/>
    </w:p>
    <w:p w14:paraId="13FF4678" w14:textId="77777777" w:rsidR="00C114E6" w:rsidRPr="0051575F" w:rsidRDefault="00C114E6" w:rsidP="001D6F9F">
      <w:pPr>
        <w:spacing w:line="276" w:lineRule="auto"/>
        <w:ind w:firstLine="540"/>
        <w:jc w:val="both"/>
        <w:rPr>
          <w:b/>
          <w:sz w:val="28"/>
          <w:szCs w:val="28"/>
          <w:lang w:val="uk-UA"/>
        </w:rPr>
      </w:pPr>
    </w:p>
    <w:p w14:paraId="433F1ECC" w14:textId="15DF3E74" w:rsidR="00027663" w:rsidRPr="0051575F" w:rsidRDefault="007B5F15" w:rsidP="001D6F9F">
      <w:pPr>
        <w:tabs>
          <w:tab w:val="left" w:pos="720"/>
        </w:tabs>
        <w:spacing w:after="60" w:line="276" w:lineRule="auto"/>
        <w:ind w:firstLine="720"/>
        <w:contextualSpacing/>
        <w:jc w:val="both"/>
        <w:rPr>
          <w:sz w:val="28"/>
          <w:szCs w:val="28"/>
          <w:lang w:val="uk-UA"/>
        </w:rPr>
      </w:pPr>
      <w:r w:rsidRPr="008D0691">
        <w:rPr>
          <w:sz w:val="28"/>
          <w:szCs w:val="28"/>
          <w:lang w:val="uk-UA"/>
        </w:rPr>
        <w:t xml:space="preserve">Відстеження результативності регуляторного </w:t>
      </w:r>
      <w:proofErr w:type="spellStart"/>
      <w:r w:rsidRPr="008D0691">
        <w:rPr>
          <w:sz w:val="28"/>
          <w:szCs w:val="28"/>
          <w:lang w:val="uk-UA"/>
        </w:rPr>
        <w:t>акта</w:t>
      </w:r>
      <w:proofErr w:type="spellEnd"/>
      <w:r w:rsidRPr="008D0691">
        <w:rPr>
          <w:sz w:val="28"/>
          <w:szCs w:val="28"/>
          <w:lang w:val="uk-UA"/>
        </w:rPr>
        <w:t xml:space="preserve"> будуть здійснюватися Міністерством </w:t>
      </w:r>
      <w:r w:rsidR="008D0691" w:rsidRPr="008D0691">
        <w:rPr>
          <w:sz w:val="28"/>
          <w:szCs w:val="28"/>
          <w:lang w:val="uk-UA"/>
        </w:rPr>
        <w:t>енергетики та захисту довкілля України</w:t>
      </w:r>
      <w:r w:rsidR="008D0691" w:rsidRPr="0051575F">
        <w:rPr>
          <w:sz w:val="28"/>
          <w:szCs w:val="28"/>
          <w:lang w:val="uk-UA"/>
        </w:rPr>
        <w:t xml:space="preserve"> </w:t>
      </w:r>
      <w:r w:rsidRPr="0051575F">
        <w:rPr>
          <w:sz w:val="28"/>
          <w:szCs w:val="28"/>
          <w:lang w:val="uk-UA"/>
        </w:rPr>
        <w:t>статистичним методом.</w:t>
      </w:r>
    </w:p>
    <w:p w14:paraId="678D413D" w14:textId="77777777" w:rsidR="00027663" w:rsidRPr="0051575F" w:rsidRDefault="00027663" w:rsidP="00825217">
      <w:pPr>
        <w:tabs>
          <w:tab w:val="left" w:pos="720"/>
        </w:tabs>
        <w:spacing w:after="60" w:line="276" w:lineRule="auto"/>
        <w:ind w:firstLine="720"/>
        <w:contextualSpacing/>
        <w:jc w:val="both"/>
        <w:rPr>
          <w:sz w:val="28"/>
          <w:szCs w:val="28"/>
          <w:lang w:val="uk-UA"/>
        </w:rPr>
      </w:pPr>
      <w:r w:rsidRPr="0051575F">
        <w:rPr>
          <w:sz w:val="28"/>
          <w:szCs w:val="28"/>
          <w:lang w:val="uk-UA"/>
        </w:rPr>
        <w:t xml:space="preserve">Базове відстеження результативності дії регуляторного </w:t>
      </w:r>
      <w:proofErr w:type="spellStart"/>
      <w:r w:rsidRPr="0051575F">
        <w:rPr>
          <w:sz w:val="28"/>
          <w:szCs w:val="28"/>
          <w:lang w:val="uk-UA"/>
        </w:rPr>
        <w:t>акта</w:t>
      </w:r>
      <w:proofErr w:type="spellEnd"/>
      <w:r w:rsidRPr="0051575F">
        <w:rPr>
          <w:sz w:val="28"/>
          <w:szCs w:val="28"/>
          <w:lang w:val="uk-UA"/>
        </w:rPr>
        <w:t xml:space="preserve"> здійсню</w:t>
      </w:r>
      <w:r w:rsidR="007B5F15" w:rsidRPr="0051575F">
        <w:rPr>
          <w:sz w:val="28"/>
          <w:szCs w:val="28"/>
          <w:lang w:val="uk-UA"/>
        </w:rPr>
        <w:t>ватиметьс</w:t>
      </w:r>
      <w:r w:rsidRPr="0051575F">
        <w:rPr>
          <w:sz w:val="28"/>
          <w:szCs w:val="28"/>
          <w:lang w:val="uk-UA"/>
        </w:rPr>
        <w:t xml:space="preserve">я </w:t>
      </w:r>
      <w:r w:rsidR="00825217" w:rsidRPr="0051575F">
        <w:rPr>
          <w:sz w:val="28"/>
          <w:szCs w:val="28"/>
          <w:lang w:val="uk-UA"/>
        </w:rPr>
        <w:t xml:space="preserve">після набрання ним чинності шляхом аналізу статистичних даних, але не </w:t>
      </w:r>
      <w:r w:rsidRPr="0051575F">
        <w:rPr>
          <w:sz w:val="28"/>
          <w:szCs w:val="28"/>
          <w:lang w:val="uk-UA"/>
        </w:rPr>
        <w:t xml:space="preserve"> </w:t>
      </w:r>
      <w:r w:rsidR="00825217" w:rsidRPr="0051575F">
        <w:rPr>
          <w:sz w:val="28"/>
          <w:szCs w:val="28"/>
          <w:lang w:val="uk-UA"/>
        </w:rPr>
        <w:t xml:space="preserve">пізніше дня, з якого починається проведення повторного відстеження результативності цього </w:t>
      </w:r>
      <w:proofErr w:type="spellStart"/>
      <w:r w:rsidR="00825217" w:rsidRPr="0051575F">
        <w:rPr>
          <w:sz w:val="28"/>
          <w:szCs w:val="28"/>
          <w:lang w:val="uk-UA"/>
        </w:rPr>
        <w:t>акта</w:t>
      </w:r>
      <w:proofErr w:type="spellEnd"/>
      <w:r w:rsidR="00825217" w:rsidRPr="0051575F">
        <w:rPr>
          <w:sz w:val="28"/>
          <w:szCs w:val="28"/>
          <w:lang w:val="uk-UA"/>
        </w:rPr>
        <w:t>.</w:t>
      </w:r>
    </w:p>
    <w:p w14:paraId="310CA5CA" w14:textId="77777777" w:rsidR="00BE50F9" w:rsidRPr="0051575F" w:rsidRDefault="00BE50F9" w:rsidP="001D6F9F">
      <w:pPr>
        <w:tabs>
          <w:tab w:val="left" w:pos="720"/>
        </w:tabs>
        <w:spacing w:after="60" w:line="276" w:lineRule="auto"/>
        <w:ind w:firstLine="720"/>
        <w:contextualSpacing/>
        <w:jc w:val="both"/>
        <w:rPr>
          <w:sz w:val="28"/>
          <w:szCs w:val="28"/>
          <w:lang w:val="uk-UA"/>
        </w:rPr>
      </w:pPr>
      <w:r w:rsidRPr="0051575F">
        <w:rPr>
          <w:sz w:val="28"/>
          <w:szCs w:val="28"/>
          <w:lang w:val="uk-UA"/>
        </w:rPr>
        <w:t>Повторне відстеження здійснюватиметься через рік з дня набрання ним чинності, але не пізніше двох років з дня набрання чинності цим актом.</w:t>
      </w:r>
    </w:p>
    <w:p w14:paraId="4D410E0C" w14:textId="77777777" w:rsidR="00027663" w:rsidRPr="0051575F" w:rsidRDefault="00027663" w:rsidP="001D6F9F">
      <w:pPr>
        <w:tabs>
          <w:tab w:val="left" w:pos="720"/>
        </w:tabs>
        <w:spacing w:after="60" w:line="276" w:lineRule="auto"/>
        <w:ind w:firstLine="720"/>
        <w:contextualSpacing/>
        <w:jc w:val="both"/>
        <w:rPr>
          <w:sz w:val="28"/>
          <w:szCs w:val="28"/>
          <w:lang w:val="uk-UA"/>
        </w:rPr>
      </w:pPr>
      <w:r w:rsidRPr="0051575F">
        <w:rPr>
          <w:sz w:val="28"/>
          <w:szCs w:val="28"/>
          <w:lang w:val="uk-UA"/>
        </w:rPr>
        <w:t>Періодичні відстеження будуть здійснюватис</w:t>
      </w:r>
      <w:r w:rsidR="00E0783E" w:rsidRPr="0051575F">
        <w:rPr>
          <w:sz w:val="28"/>
          <w:szCs w:val="28"/>
          <w:lang w:val="uk-UA"/>
        </w:rPr>
        <w:t>я</w:t>
      </w:r>
      <w:r w:rsidRPr="0051575F">
        <w:rPr>
          <w:sz w:val="28"/>
          <w:szCs w:val="28"/>
          <w:lang w:val="uk-UA"/>
        </w:rPr>
        <w:t xml:space="preserve"> раз на </w:t>
      </w:r>
      <w:r w:rsidR="00BE50F9" w:rsidRPr="0051575F">
        <w:rPr>
          <w:sz w:val="28"/>
          <w:szCs w:val="28"/>
          <w:lang w:val="uk-UA"/>
        </w:rPr>
        <w:t xml:space="preserve">кожні </w:t>
      </w:r>
      <w:r w:rsidRPr="0051575F">
        <w:rPr>
          <w:sz w:val="28"/>
          <w:szCs w:val="28"/>
          <w:lang w:val="uk-UA"/>
        </w:rPr>
        <w:t xml:space="preserve">три роки, починаючи з дня </w:t>
      </w:r>
      <w:r w:rsidR="00BE50F9" w:rsidRPr="0051575F">
        <w:rPr>
          <w:sz w:val="28"/>
          <w:szCs w:val="28"/>
          <w:lang w:val="uk-UA"/>
        </w:rPr>
        <w:t>закінчення</w:t>
      </w:r>
      <w:r w:rsidRPr="0051575F">
        <w:rPr>
          <w:sz w:val="28"/>
          <w:szCs w:val="28"/>
          <w:lang w:val="uk-UA"/>
        </w:rPr>
        <w:t xml:space="preserve"> заходів з повторного відстеження</w:t>
      </w:r>
      <w:r w:rsidR="00BE50F9" w:rsidRPr="0051575F">
        <w:rPr>
          <w:sz w:val="28"/>
          <w:szCs w:val="28"/>
          <w:lang w:val="uk-UA"/>
        </w:rPr>
        <w:t xml:space="preserve"> результативності цього </w:t>
      </w:r>
      <w:proofErr w:type="spellStart"/>
      <w:r w:rsidR="00BE50F9" w:rsidRPr="0051575F">
        <w:rPr>
          <w:sz w:val="28"/>
          <w:szCs w:val="28"/>
          <w:lang w:val="uk-UA"/>
        </w:rPr>
        <w:t>акта</w:t>
      </w:r>
      <w:proofErr w:type="spellEnd"/>
      <w:r w:rsidRPr="0051575F">
        <w:rPr>
          <w:sz w:val="28"/>
          <w:szCs w:val="28"/>
          <w:lang w:val="uk-UA"/>
        </w:rPr>
        <w:t>.</w:t>
      </w:r>
    </w:p>
    <w:p w14:paraId="53C4D021" w14:textId="77777777" w:rsidR="007C13AD" w:rsidRPr="0051575F" w:rsidRDefault="007C13AD" w:rsidP="001D6F9F">
      <w:pPr>
        <w:spacing w:line="276" w:lineRule="auto"/>
        <w:ind w:firstLine="540"/>
        <w:jc w:val="both"/>
        <w:rPr>
          <w:bCs/>
          <w:sz w:val="28"/>
          <w:szCs w:val="28"/>
          <w:lang w:val="uk-UA"/>
        </w:rPr>
      </w:pPr>
    </w:p>
    <w:p w14:paraId="40715FCC" w14:textId="77777777" w:rsidR="007C13AD" w:rsidRPr="00386898" w:rsidRDefault="007C13AD" w:rsidP="001D6F9F">
      <w:pPr>
        <w:spacing w:line="276" w:lineRule="auto"/>
        <w:ind w:firstLine="540"/>
        <w:jc w:val="both"/>
        <w:rPr>
          <w:bCs/>
          <w:sz w:val="28"/>
          <w:szCs w:val="28"/>
          <w:lang w:val="uk-UA"/>
        </w:rPr>
      </w:pPr>
    </w:p>
    <w:p w14:paraId="44341BF1" w14:textId="77777777" w:rsidR="008D0691" w:rsidRPr="008D0691" w:rsidRDefault="008D0691" w:rsidP="008D0691">
      <w:pPr>
        <w:spacing w:line="360" w:lineRule="auto"/>
        <w:jc w:val="both"/>
        <w:rPr>
          <w:b/>
          <w:sz w:val="28"/>
          <w:szCs w:val="28"/>
          <w:lang w:val="uk-UA"/>
        </w:rPr>
      </w:pPr>
      <w:r w:rsidRPr="008D0691">
        <w:rPr>
          <w:b/>
          <w:sz w:val="28"/>
          <w:szCs w:val="28"/>
          <w:lang w:val="uk-UA"/>
        </w:rPr>
        <w:t xml:space="preserve">Голова </w:t>
      </w:r>
    </w:p>
    <w:p w14:paraId="1E20D022" w14:textId="77777777" w:rsidR="008D0691" w:rsidRPr="008D0691" w:rsidRDefault="008D0691" w:rsidP="008D0691">
      <w:pPr>
        <w:spacing w:line="360" w:lineRule="auto"/>
        <w:jc w:val="both"/>
        <w:rPr>
          <w:b/>
          <w:bCs/>
          <w:sz w:val="28"/>
          <w:szCs w:val="28"/>
          <w:lang w:val="uk-UA"/>
        </w:rPr>
      </w:pPr>
      <w:r w:rsidRPr="008D0691">
        <w:rPr>
          <w:b/>
          <w:bCs/>
          <w:sz w:val="28"/>
          <w:szCs w:val="28"/>
          <w:lang w:val="uk-UA"/>
        </w:rPr>
        <w:t>Державної інспекції</w:t>
      </w:r>
    </w:p>
    <w:p w14:paraId="6BDD6B2F" w14:textId="77777777" w:rsidR="008D0691" w:rsidRPr="008D0691" w:rsidRDefault="008D0691" w:rsidP="008D0691">
      <w:pPr>
        <w:spacing w:line="360" w:lineRule="auto"/>
        <w:jc w:val="both"/>
        <w:rPr>
          <w:b/>
          <w:sz w:val="28"/>
          <w:szCs w:val="28"/>
          <w:lang w:val="uk-UA"/>
        </w:rPr>
      </w:pPr>
      <w:r w:rsidRPr="008D0691">
        <w:rPr>
          <w:b/>
          <w:bCs/>
          <w:sz w:val="28"/>
          <w:szCs w:val="28"/>
          <w:lang w:val="uk-UA"/>
        </w:rPr>
        <w:t xml:space="preserve"> енергетичного нагляду України</w:t>
      </w:r>
      <w:r w:rsidRPr="008D0691">
        <w:rPr>
          <w:b/>
          <w:bCs/>
          <w:sz w:val="28"/>
          <w:szCs w:val="28"/>
          <w:lang w:val="uk-UA"/>
        </w:rPr>
        <w:tab/>
      </w:r>
      <w:r w:rsidRPr="008D0691">
        <w:rPr>
          <w:b/>
          <w:sz w:val="28"/>
          <w:szCs w:val="28"/>
          <w:lang w:val="uk-UA"/>
        </w:rPr>
        <w:tab/>
      </w:r>
      <w:r w:rsidRPr="008D0691">
        <w:rPr>
          <w:b/>
          <w:sz w:val="28"/>
          <w:szCs w:val="28"/>
          <w:lang w:val="uk-UA"/>
        </w:rPr>
        <w:tab/>
      </w:r>
      <w:r w:rsidRPr="008D0691">
        <w:rPr>
          <w:b/>
          <w:sz w:val="28"/>
          <w:szCs w:val="28"/>
          <w:lang w:val="uk-UA"/>
        </w:rPr>
        <w:tab/>
      </w:r>
      <w:r w:rsidRPr="008D0691">
        <w:rPr>
          <w:b/>
          <w:sz w:val="28"/>
          <w:szCs w:val="28"/>
          <w:lang w:val="uk-UA"/>
        </w:rPr>
        <w:tab/>
        <w:t>М. Малашкін</w:t>
      </w:r>
    </w:p>
    <w:p w14:paraId="1B611689" w14:textId="77777777" w:rsidR="00521F44" w:rsidRPr="008D0691" w:rsidRDefault="00521F44" w:rsidP="001D6F9F">
      <w:pPr>
        <w:spacing w:line="276" w:lineRule="auto"/>
        <w:jc w:val="both"/>
        <w:rPr>
          <w:b/>
          <w:bCs/>
          <w:sz w:val="28"/>
          <w:szCs w:val="28"/>
          <w:lang w:val="uk-UA"/>
        </w:rPr>
      </w:pPr>
    </w:p>
    <w:p w14:paraId="76AA417C" w14:textId="77777777" w:rsidR="00720A8E" w:rsidRPr="00386898" w:rsidRDefault="00720A8E" w:rsidP="001D6F9F">
      <w:pPr>
        <w:spacing w:line="276" w:lineRule="auto"/>
        <w:ind w:firstLine="540"/>
        <w:jc w:val="both"/>
        <w:rPr>
          <w:bCs/>
          <w:sz w:val="28"/>
          <w:szCs w:val="28"/>
          <w:lang w:val="uk-UA"/>
        </w:rPr>
      </w:pPr>
    </w:p>
    <w:p w14:paraId="7C9F2954" w14:textId="41917350" w:rsidR="00A36CC1" w:rsidRPr="00386898" w:rsidRDefault="00027663" w:rsidP="001D6F9F">
      <w:pPr>
        <w:spacing w:line="276" w:lineRule="auto"/>
        <w:rPr>
          <w:rFonts w:eastAsia="Times New Roman"/>
          <w:sz w:val="28"/>
          <w:szCs w:val="28"/>
          <w:lang w:val="uk-UA"/>
        </w:rPr>
      </w:pPr>
      <w:r w:rsidRPr="00386898">
        <w:rPr>
          <w:rFonts w:eastAsia="Times New Roman"/>
          <w:sz w:val="28"/>
          <w:szCs w:val="28"/>
          <w:lang w:val="uk-UA"/>
        </w:rPr>
        <w:t>___ __________ 201</w:t>
      </w:r>
      <w:r w:rsidR="008D0691">
        <w:rPr>
          <w:rFonts w:eastAsia="Times New Roman"/>
          <w:sz w:val="28"/>
          <w:szCs w:val="28"/>
          <w:lang w:val="uk-UA"/>
        </w:rPr>
        <w:t>9</w:t>
      </w:r>
      <w:r w:rsidRPr="00386898">
        <w:rPr>
          <w:rFonts w:eastAsia="Times New Roman"/>
          <w:sz w:val="28"/>
          <w:szCs w:val="28"/>
          <w:lang w:val="uk-UA"/>
        </w:rPr>
        <w:t xml:space="preserve"> </w:t>
      </w:r>
      <w:r w:rsidR="00A36CC1" w:rsidRPr="00386898">
        <w:rPr>
          <w:rFonts w:eastAsia="Times New Roman"/>
          <w:sz w:val="28"/>
          <w:szCs w:val="28"/>
          <w:lang w:val="uk-UA"/>
        </w:rPr>
        <w:t>р.</w:t>
      </w:r>
    </w:p>
    <w:p w14:paraId="01018251" w14:textId="77777777" w:rsidR="00A36CC1" w:rsidRPr="00386898" w:rsidRDefault="00A36CC1" w:rsidP="001D6F9F">
      <w:pPr>
        <w:spacing w:line="276" w:lineRule="auto"/>
        <w:rPr>
          <w:rFonts w:eastAsia="Times New Roman"/>
          <w:sz w:val="28"/>
          <w:szCs w:val="28"/>
          <w:lang w:val="uk-UA"/>
        </w:rPr>
      </w:pPr>
    </w:p>
    <w:p w14:paraId="31F10836" w14:textId="77777777" w:rsidR="00A33D45" w:rsidRPr="00386898" w:rsidRDefault="00A33D45" w:rsidP="001D6F9F">
      <w:pPr>
        <w:spacing w:line="276" w:lineRule="auto"/>
        <w:ind w:firstLine="720"/>
        <w:jc w:val="both"/>
        <w:rPr>
          <w:rFonts w:eastAsia="Calibri"/>
          <w:sz w:val="28"/>
          <w:szCs w:val="28"/>
          <w:lang w:val="uk-UA" w:eastAsia="en-US"/>
        </w:rPr>
      </w:pPr>
    </w:p>
    <w:p w14:paraId="06D4CE99" w14:textId="77777777" w:rsidR="00AB2EC2" w:rsidRPr="00386898" w:rsidRDefault="00AB2EC2" w:rsidP="001D6F9F">
      <w:pPr>
        <w:spacing w:line="276" w:lineRule="auto"/>
        <w:rPr>
          <w:rFonts w:eastAsia="Times New Roman"/>
          <w:color w:val="000000"/>
          <w:szCs w:val="28"/>
          <w:lang w:val="uk-UA"/>
        </w:rPr>
      </w:pPr>
    </w:p>
    <w:sectPr w:rsidR="00AB2EC2" w:rsidRPr="00386898" w:rsidSect="0041663C">
      <w:type w:val="continuous"/>
      <w:pgSz w:w="11906" w:h="16838"/>
      <w:pgMar w:top="1135" w:right="566" w:bottom="851"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36ECB" w14:textId="77777777" w:rsidR="004D4D9F" w:rsidRDefault="004D4D9F">
      <w:r>
        <w:separator/>
      </w:r>
    </w:p>
  </w:endnote>
  <w:endnote w:type="continuationSeparator" w:id="0">
    <w:p w14:paraId="0A53CAE0" w14:textId="77777777" w:rsidR="004D4D9F" w:rsidRDefault="004D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FDBBD" w14:textId="77777777" w:rsidR="004D4D9F" w:rsidRDefault="004D4D9F">
      <w:r>
        <w:separator/>
      </w:r>
    </w:p>
  </w:footnote>
  <w:footnote w:type="continuationSeparator" w:id="0">
    <w:p w14:paraId="6622BD65" w14:textId="77777777" w:rsidR="004D4D9F" w:rsidRDefault="004D4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9154A" w14:textId="77777777" w:rsidR="00A643D2" w:rsidRDefault="00830C69" w:rsidP="00450DFA">
    <w:pPr>
      <w:pStyle w:val="a9"/>
      <w:framePr w:wrap="around" w:vAnchor="text" w:hAnchor="margin" w:xAlign="center" w:y="1"/>
      <w:rPr>
        <w:rStyle w:val="ab"/>
      </w:rPr>
    </w:pPr>
    <w:r>
      <w:rPr>
        <w:rStyle w:val="ab"/>
      </w:rPr>
      <w:fldChar w:fldCharType="begin"/>
    </w:r>
    <w:r w:rsidR="00A643D2">
      <w:rPr>
        <w:rStyle w:val="ab"/>
      </w:rPr>
      <w:instrText xml:space="preserve">PAGE  </w:instrText>
    </w:r>
    <w:r>
      <w:rPr>
        <w:rStyle w:val="ab"/>
      </w:rPr>
      <w:fldChar w:fldCharType="end"/>
    </w:r>
  </w:p>
  <w:p w14:paraId="3E929BFD" w14:textId="77777777" w:rsidR="00A643D2" w:rsidRDefault="00A643D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3727" w14:textId="77777777" w:rsidR="00A643D2" w:rsidRDefault="00A643D2" w:rsidP="00FF1BC0">
    <w:pPr>
      <w:pStyle w:val="a9"/>
      <w:tabs>
        <w:tab w:val="center" w:pos="4860"/>
        <w:tab w:val="left" w:pos="8919"/>
      </w:tabs>
    </w:pPr>
    <w:r>
      <w:tab/>
    </w:r>
    <w:r>
      <w:tab/>
    </w:r>
    <w:r w:rsidR="00830C69">
      <w:fldChar w:fldCharType="begin"/>
    </w:r>
    <w:r>
      <w:instrText>PAGE   \* MERGEFORMAT</w:instrText>
    </w:r>
    <w:r w:rsidR="00830C69">
      <w:fldChar w:fldCharType="separate"/>
    </w:r>
    <w:r w:rsidR="00750B42" w:rsidRPr="00750B42">
      <w:rPr>
        <w:noProof/>
        <w:lang w:val="ru-RU"/>
      </w:rPr>
      <w:t>15</w:t>
    </w:r>
    <w:r w:rsidR="00830C69">
      <w:rPr>
        <w:noProof/>
        <w:lang w:val="ru-RU"/>
      </w:rPr>
      <w:fldChar w:fldCharType="end"/>
    </w:r>
    <w:r>
      <w:tab/>
    </w:r>
  </w:p>
  <w:p w14:paraId="1C3487FF" w14:textId="77777777" w:rsidR="00A643D2" w:rsidRDefault="00A643D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0A3B"/>
    <w:multiLevelType w:val="multilevel"/>
    <w:tmpl w:val="5D38C77E"/>
    <w:lvl w:ilvl="0">
      <w:start w:val="1"/>
      <w:numFmt w:val="bullet"/>
      <w:lvlText w:val=""/>
      <w:lvlJc w:val="left"/>
      <w:pPr>
        <w:tabs>
          <w:tab w:val="num" w:pos="502"/>
        </w:tabs>
        <w:ind w:left="502" w:hanging="360"/>
      </w:pPr>
      <w:rPr>
        <w:rFonts w:ascii="Symbol" w:hAnsi="Symbol" w:hint="default"/>
        <w:sz w:val="20"/>
        <w:lang w:val="uk-UA"/>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26DA3DD6"/>
    <w:multiLevelType w:val="hybridMultilevel"/>
    <w:tmpl w:val="F25067EE"/>
    <w:lvl w:ilvl="0" w:tplc="AB183F6A">
      <w:start w:val="1"/>
      <w:numFmt w:val="bullet"/>
      <w:lvlText w:val="*"/>
      <w:lvlJc w:val="left"/>
      <w:pPr>
        <w:ind w:left="1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397CD0C2">
      <w:start w:val="7"/>
      <w:numFmt w:val="upperRoman"/>
      <w:lvlText w:val="%2."/>
      <w:lvlJc w:val="left"/>
      <w:pPr>
        <w:ind w:left="70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2" w:tplc="321244E2">
      <w:start w:val="1"/>
      <w:numFmt w:val="lowerRoman"/>
      <w:lvlText w:val="%3"/>
      <w:lvlJc w:val="left"/>
      <w:pPr>
        <w:ind w:left="178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3" w:tplc="24BED89E">
      <w:start w:val="1"/>
      <w:numFmt w:val="decimal"/>
      <w:lvlText w:val="%4"/>
      <w:lvlJc w:val="left"/>
      <w:pPr>
        <w:ind w:left="250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4" w:tplc="CBDE9968">
      <w:start w:val="1"/>
      <w:numFmt w:val="lowerLetter"/>
      <w:lvlText w:val="%5"/>
      <w:lvlJc w:val="left"/>
      <w:pPr>
        <w:ind w:left="322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5" w:tplc="AB58C65C">
      <w:start w:val="1"/>
      <w:numFmt w:val="lowerRoman"/>
      <w:lvlText w:val="%6"/>
      <w:lvlJc w:val="left"/>
      <w:pPr>
        <w:ind w:left="394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6" w:tplc="51D84B76">
      <w:start w:val="1"/>
      <w:numFmt w:val="decimal"/>
      <w:lvlText w:val="%7"/>
      <w:lvlJc w:val="left"/>
      <w:pPr>
        <w:ind w:left="466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7" w:tplc="62DADA00">
      <w:start w:val="1"/>
      <w:numFmt w:val="lowerLetter"/>
      <w:lvlText w:val="%8"/>
      <w:lvlJc w:val="left"/>
      <w:pPr>
        <w:ind w:left="538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lvl w:ilvl="8" w:tplc="BA446BD2">
      <w:start w:val="1"/>
      <w:numFmt w:val="lowerRoman"/>
      <w:lvlText w:val="%9"/>
      <w:lvlJc w:val="left"/>
      <w:pPr>
        <w:ind w:left="6106"/>
      </w:pPr>
      <w:rPr>
        <w:rFonts w:ascii="Times New Roman" w:eastAsia="Times New Roman" w:hAnsi="Times New Roman" w:cs="Times New Roman"/>
        <w:b/>
        <w:bCs/>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37782BBC"/>
    <w:multiLevelType w:val="hybridMultilevel"/>
    <w:tmpl w:val="7B8C2164"/>
    <w:lvl w:ilvl="0" w:tplc="FBAC7B08">
      <w:numFmt w:val="bullet"/>
      <w:lvlText w:val="-"/>
      <w:lvlJc w:val="left"/>
      <w:pPr>
        <w:ind w:left="435" w:hanging="360"/>
      </w:pPr>
      <w:rPr>
        <w:rFonts w:ascii="Times New Roman" w:eastAsia="Batang"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15:restartNumberingAfterBreak="0">
    <w:nsid w:val="39314620"/>
    <w:multiLevelType w:val="hybridMultilevel"/>
    <w:tmpl w:val="F06AD4FA"/>
    <w:lvl w:ilvl="0" w:tplc="60BA1E26">
      <w:start w:val="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0431290"/>
    <w:multiLevelType w:val="hybridMultilevel"/>
    <w:tmpl w:val="4DAAD7AA"/>
    <w:lvl w:ilvl="0" w:tplc="4B046410">
      <w:numFmt w:val="bullet"/>
      <w:lvlText w:val="-"/>
      <w:lvlJc w:val="left"/>
      <w:pPr>
        <w:ind w:left="900" w:hanging="360"/>
      </w:pPr>
      <w:rPr>
        <w:rFonts w:ascii="Times New Roman" w:eastAsia="Batang"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44C2041C"/>
    <w:multiLevelType w:val="hybridMultilevel"/>
    <w:tmpl w:val="957AE828"/>
    <w:lvl w:ilvl="0" w:tplc="CF40727E">
      <w:start w:val="1"/>
      <w:numFmt w:val="bullet"/>
      <w:lvlText w:val="-"/>
      <w:lvlJc w:val="left"/>
      <w:pPr>
        <w:tabs>
          <w:tab w:val="num" w:pos="720"/>
        </w:tabs>
        <w:ind w:left="720" w:hanging="360"/>
      </w:pPr>
      <w:rPr>
        <w:rFonts w:ascii="Times New Roman" w:hAnsi="Times New Roman" w:hint="default"/>
      </w:rPr>
    </w:lvl>
    <w:lvl w:ilvl="1" w:tplc="D018D69E" w:tentative="1">
      <w:start w:val="1"/>
      <w:numFmt w:val="bullet"/>
      <w:lvlText w:val="-"/>
      <w:lvlJc w:val="left"/>
      <w:pPr>
        <w:tabs>
          <w:tab w:val="num" w:pos="1440"/>
        </w:tabs>
        <w:ind w:left="1440" w:hanging="360"/>
      </w:pPr>
      <w:rPr>
        <w:rFonts w:ascii="Times New Roman" w:hAnsi="Times New Roman" w:hint="default"/>
      </w:rPr>
    </w:lvl>
    <w:lvl w:ilvl="2" w:tplc="0B340594" w:tentative="1">
      <w:start w:val="1"/>
      <w:numFmt w:val="bullet"/>
      <w:lvlText w:val="-"/>
      <w:lvlJc w:val="left"/>
      <w:pPr>
        <w:tabs>
          <w:tab w:val="num" w:pos="2160"/>
        </w:tabs>
        <w:ind w:left="2160" w:hanging="360"/>
      </w:pPr>
      <w:rPr>
        <w:rFonts w:ascii="Times New Roman" w:hAnsi="Times New Roman" w:hint="default"/>
      </w:rPr>
    </w:lvl>
    <w:lvl w:ilvl="3" w:tplc="6664600C" w:tentative="1">
      <w:start w:val="1"/>
      <w:numFmt w:val="bullet"/>
      <w:lvlText w:val="-"/>
      <w:lvlJc w:val="left"/>
      <w:pPr>
        <w:tabs>
          <w:tab w:val="num" w:pos="2880"/>
        </w:tabs>
        <w:ind w:left="2880" w:hanging="360"/>
      </w:pPr>
      <w:rPr>
        <w:rFonts w:ascii="Times New Roman" w:hAnsi="Times New Roman" w:hint="default"/>
      </w:rPr>
    </w:lvl>
    <w:lvl w:ilvl="4" w:tplc="0464D368" w:tentative="1">
      <w:start w:val="1"/>
      <w:numFmt w:val="bullet"/>
      <w:lvlText w:val="-"/>
      <w:lvlJc w:val="left"/>
      <w:pPr>
        <w:tabs>
          <w:tab w:val="num" w:pos="3600"/>
        </w:tabs>
        <w:ind w:left="3600" w:hanging="360"/>
      </w:pPr>
      <w:rPr>
        <w:rFonts w:ascii="Times New Roman" w:hAnsi="Times New Roman" w:hint="default"/>
      </w:rPr>
    </w:lvl>
    <w:lvl w:ilvl="5" w:tplc="EDE07376" w:tentative="1">
      <w:start w:val="1"/>
      <w:numFmt w:val="bullet"/>
      <w:lvlText w:val="-"/>
      <w:lvlJc w:val="left"/>
      <w:pPr>
        <w:tabs>
          <w:tab w:val="num" w:pos="4320"/>
        </w:tabs>
        <w:ind w:left="4320" w:hanging="360"/>
      </w:pPr>
      <w:rPr>
        <w:rFonts w:ascii="Times New Roman" w:hAnsi="Times New Roman" w:hint="default"/>
      </w:rPr>
    </w:lvl>
    <w:lvl w:ilvl="6" w:tplc="E97CD7F8" w:tentative="1">
      <w:start w:val="1"/>
      <w:numFmt w:val="bullet"/>
      <w:lvlText w:val="-"/>
      <w:lvlJc w:val="left"/>
      <w:pPr>
        <w:tabs>
          <w:tab w:val="num" w:pos="5040"/>
        </w:tabs>
        <w:ind w:left="5040" w:hanging="360"/>
      </w:pPr>
      <w:rPr>
        <w:rFonts w:ascii="Times New Roman" w:hAnsi="Times New Roman" w:hint="default"/>
      </w:rPr>
    </w:lvl>
    <w:lvl w:ilvl="7" w:tplc="DE2AAE64" w:tentative="1">
      <w:start w:val="1"/>
      <w:numFmt w:val="bullet"/>
      <w:lvlText w:val="-"/>
      <w:lvlJc w:val="left"/>
      <w:pPr>
        <w:tabs>
          <w:tab w:val="num" w:pos="5760"/>
        </w:tabs>
        <w:ind w:left="5760" w:hanging="360"/>
      </w:pPr>
      <w:rPr>
        <w:rFonts w:ascii="Times New Roman" w:hAnsi="Times New Roman" w:hint="default"/>
      </w:rPr>
    </w:lvl>
    <w:lvl w:ilvl="8" w:tplc="E84C38A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137F82"/>
    <w:multiLevelType w:val="hybridMultilevel"/>
    <w:tmpl w:val="66346E8C"/>
    <w:lvl w:ilvl="0" w:tplc="97C2876A">
      <w:numFmt w:val="bullet"/>
      <w:lvlText w:val="-"/>
      <w:lvlJc w:val="left"/>
      <w:pPr>
        <w:ind w:left="1080" w:hanging="360"/>
      </w:pPr>
      <w:rPr>
        <w:rFonts w:ascii="Times New Roman" w:eastAsia="Batang"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63E7B96"/>
    <w:multiLevelType w:val="hybridMultilevel"/>
    <w:tmpl w:val="085E6ABA"/>
    <w:lvl w:ilvl="0" w:tplc="A6C66AA0">
      <w:start w:val="1"/>
      <w:numFmt w:val="decimal"/>
      <w:lvlText w:val="%1."/>
      <w:lvlJc w:val="left"/>
      <w:pPr>
        <w:tabs>
          <w:tab w:val="num" w:pos="1960"/>
        </w:tabs>
        <w:ind w:left="1960" w:hanging="12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DB67C69"/>
    <w:multiLevelType w:val="hybridMultilevel"/>
    <w:tmpl w:val="DAFC87F4"/>
    <w:lvl w:ilvl="0" w:tplc="0CACA04A">
      <w:start w:val="1"/>
      <w:numFmt w:val="bullet"/>
      <w:lvlText w:val="-"/>
      <w:lvlJc w:val="left"/>
      <w:pPr>
        <w:tabs>
          <w:tab w:val="num" w:pos="1773"/>
        </w:tabs>
        <w:ind w:left="1773" w:hanging="1065"/>
      </w:pPr>
      <w:rPr>
        <w:rFonts w:ascii="Times New Roman" w:eastAsia="Batang"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627A1F52"/>
    <w:multiLevelType w:val="hybridMultilevel"/>
    <w:tmpl w:val="40FA3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E9633D4"/>
    <w:multiLevelType w:val="hybridMultilevel"/>
    <w:tmpl w:val="21BED5BE"/>
    <w:lvl w:ilvl="0" w:tplc="88EE79E8">
      <w:start w:val="1"/>
      <w:numFmt w:val="bullet"/>
      <w:lvlText w:val="•"/>
      <w:lvlJc w:val="left"/>
      <w:pPr>
        <w:tabs>
          <w:tab w:val="num" w:pos="720"/>
        </w:tabs>
        <w:ind w:left="720" w:hanging="360"/>
      </w:pPr>
      <w:rPr>
        <w:rFonts w:ascii="Times New Roman" w:hAnsi="Times New Roman" w:hint="default"/>
      </w:rPr>
    </w:lvl>
    <w:lvl w:ilvl="1" w:tplc="24205254" w:tentative="1">
      <w:start w:val="1"/>
      <w:numFmt w:val="bullet"/>
      <w:lvlText w:val="•"/>
      <w:lvlJc w:val="left"/>
      <w:pPr>
        <w:tabs>
          <w:tab w:val="num" w:pos="1440"/>
        </w:tabs>
        <w:ind w:left="1440" w:hanging="360"/>
      </w:pPr>
      <w:rPr>
        <w:rFonts w:ascii="Times New Roman" w:hAnsi="Times New Roman" w:hint="default"/>
      </w:rPr>
    </w:lvl>
    <w:lvl w:ilvl="2" w:tplc="B79E9DC6" w:tentative="1">
      <w:start w:val="1"/>
      <w:numFmt w:val="bullet"/>
      <w:lvlText w:val="•"/>
      <w:lvlJc w:val="left"/>
      <w:pPr>
        <w:tabs>
          <w:tab w:val="num" w:pos="2160"/>
        </w:tabs>
        <w:ind w:left="2160" w:hanging="360"/>
      </w:pPr>
      <w:rPr>
        <w:rFonts w:ascii="Times New Roman" w:hAnsi="Times New Roman" w:hint="default"/>
      </w:rPr>
    </w:lvl>
    <w:lvl w:ilvl="3" w:tplc="21843882" w:tentative="1">
      <w:start w:val="1"/>
      <w:numFmt w:val="bullet"/>
      <w:lvlText w:val="•"/>
      <w:lvlJc w:val="left"/>
      <w:pPr>
        <w:tabs>
          <w:tab w:val="num" w:pos="2880"/>
        </w:tabs>
        <w:ind w:left="2880" w:hanging="360"/>
      </w:pPr>
      <w:rPr>
        <w:rFonts w:ascii="Times New Roman" w:hAnsi="Times New Roman" w:hint="default"/>
      </w:rPr>
    </w:lvl>
    <w:lvl w:ilvl="4" w:tplc="571EAACE" w:tentative="1">
      <w:start w:val="1"/>
      <w:numFmt w:val="bullet"/>
      <w:lvlText w:val="•"/>
      <w:lvlJc w:val="left"/>
      <w:pPr>
        <w:tabs>
          <w:tab w:val="num" w:pos="3600"/>
        </w:tabs>
        <w:ind w:left="3600" w:hanging="360"/>
      </w:pPr>
      <w:rPr>
        <w:rFonts w:ascii="Times New Roman" w:hAnsi="Times New Roman" w:hint="default"/>
      </w:rPr>
    </w:lvl>
    <w:lvl w:ilvl="5" w:tplc="46EC2FE0" w:tentative="1">
      <w:start w:val="1"/>
      <w:numFmt w:val="bullet"/>
      <w:lvlText w:val="•"/>
      <w:lvlJc w:val="left"/>
      <w:pPr>
        <w:tabs>
          <w:tab w:val="num" w:pos="4320"/>
        </w:tabs>
        <w:ind w:left="4320" w:hanging="360"/>
      </w:pPr>
      <w:rPr>
        <w:rFonts w:ascii="Times New Roman" w:hAnsi="Times New Roman" w:hint="default"/>
      </w:rPr>
    </w:lvl>
    <w:lvl w:ilvl="6" w:tplc="038A402E" w:tentative="1">
      <w:start w:val="1"/>
      <w:numFmt w:val="bullet"/>
      <w:lvlText w:val="•"/>
      <w:lvlJc w:val="left"/>
      <w:pPr>
        <w:tabs>
          <w:tab w:val="num" w:pos="5040"/>
        </w:tabs>
        <w:ind w:left="5040" w:hanging="360"/>
      </w:pPr>
      <w:rPr>
        <w:rFonts w:ascii="Times New Roman" w:hAnsi="Times New Roman" w:hint="default"/>
      </w:rPr>
    </w:lvl>
    <w:lvl w:ilvl="7" w:tplc="76147A3A" w:tentative="1">
      <w:start w:val="1"/>
      <w:numFmt w:val="bullet"/>
      <w:lvlText w:val="•"/>
      <w:lvlJc w:val="left"/>
      <w:pPr>
        <w:tabs>
          <w:tab w:val="num" w:pos="5760"/>
        </w:tabs>
        <w:ind w:left="5760" w:hanging="360"/>
      </w:pPr>
      <w:rPr>
        <w:rFonts w:ascii="Times New Roman" w:hAnsi="Times New Roman" w:hint="default"/>
      </w:rPr>
    </w:lvl>
    <w:lvl w:ilvl="8" w:tplc="629C721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9EF0673"/>
    <w:multiLevelType w:val="hybridMultilevel"/>
    <w:tmpl w:val="E7C292D4"/>
    <w:lvl w:ilvl="0" w:tplc="0B2E56F8">
      <w:start w:val="1"/>
      <w:numFmt w:val="bullet"/>
      <w:lvlText w:val=""/>
      <w:lvlJc w:val="left"/>
      <w:pPr>
        <w:ind w:left="1080" w:hanging="360"/>
      </w:pPr>
      <w:rPr>
        <w:rFonts w:ascii="Symbol" w:eastAsia="Times New Roman" w:hAnsi="Symbol" w:cs="Times New Roman" w:hint="default"/>
        <w:color w:val="auto"/>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15:restartNumberingAfterBreak="0">
    <w:nsid w:val="7C400193"/>
    <w:multiLevelType w:val="hybridMultilevel"/>
    <w:tmpl w:val="8CBEF4EE"/>
    <w:lvl w:ilvl="0" w:tplc="3104CC64">
      <w:numFmt w:val="bullet"/>
      <w:lvlText w:val="-"/>
      <w:lvlJc w:val="left"/>
      <w:pPr>
        <w:ind w:left="677" w:hanging="360"/>
      </w:pPr>
      <w:rPr>
        <w:rFonts w:ascii="Times New Roman" w:eastAsia="Times New Roman" w:hAnsi="Times New Roman" w:cs="Times New Roman"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3" w15:restartNumberingAfterBreak="0">
    <w:nsid w:val="7E3E5C2D"/>
    <w:multiLevelType w:val="hybridMultilevel"/>
    <w:tmpl w:val="301C327E"/>
    <w:lvl w:ilvl="0" w:tplc="9C248894">
      <w:numFmt w:val="bullet"/>
      <w:lvlText w:val="-"/>
      <w:lvlJc w:val="left"/>
      <w:pPr>
        <w:ind w:left="1260" w:hanging="360"/>
      </w:pPr>
      <w:rPr>
        <w:rFonts w:ascii="Times New Roman" w:eastAsia="Batang"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8"/>
  </w:num>
  <w:num w:numId="4">
    <w:abstractNumId w:val="5"/>
  </w:num>
  <w:num w:numId="5">
    <w:abstractNumId w:val="10"/>
  </w:num>
  <w:num w:numId="6">
    <w:abstractNumId w:val="1"/>
  </w:num>
  <w:num w:numId="7">
    <w:abstractNumId w:val="4"/>
  </w:num>
  <w:num w:numId="8">
    <w:abstractNumId w:val="13"/>
  </w:num>
  <w:num w:numId="9">
    <w:abstractNumId w:val="2"/>
  </w:num>
  <w:num w:numId="10">
    <w:abstractNumId w:val="0"/>
  </w:num>
  <w:num w:numId="11">
    <w:abstractNumId w:val="12"/>
  </w:num>
  <w:num w:numId="12">
    <w:abstractNumId w:val="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7D"/>
    <w:rsid w:val="00000B27"/>
    <w:rsid w:val="00001F2E"/>
    <w:rsid w:val="000022BD"/>
    <w:rsid w:val="00002A76"/>
    <w:rsid w:val="000065EA"/>
    <w:rsid w:val="0001007B"/>
    <w:rsid w:val="000121F6"/>
    <w:rsid w:val="00013D5E"/>
    <w:rsid w:val="000156AF"/>
    <w:rsid w:val="000164C2"/>
    <w:rsid w:val="00017C4D"/>
    <w:rsid w:val="00020661"/>
    <w:rsid w:val="00021085"/>
    <w:rsid w:val="00021C36"/>
    <w:rsid w:val="00025B90"/>
    <w:rsid w:val="00026E0F"/>
    <w:rsid w:val="00027663"/>
    <w:rsid w:val="00027733"/>
    <w:rsid w:val="00027B6E"/>
    <w:rsid w:val="000321A7"/>
    <w:rsid w:val="00032712"/>
    <w:rsid w:val="00033164"/>
    <w:rsid w:val="000335C4"/>
    <w:rsid w:val="000335D6"/>
    <w:rsid w:val="00033E91"/>
    <w:rsid w:val="00040706"/>
    <w:rsid w:val="00040737"/>
    <w:rsid w:val="000429DA"/>
    <w:rsid w:val="000445F7"/>
    <w:rsid w:val="000479FB"/>
    <w:rsid w:val="00047CB0"/>
    <w:rsid w:val="000517A9"/>
    <w:rsid w:val="00052EBF"/>
    <w:rsid w:val="000532A5"/>
    <w:rsid w:val="00055BC0"/>
    <w:rsid w:val="000569B6"/>
    <w:rsid w:val="00056F5F"/>
    <w:rsid w:val="00057ACD"/>
    <w:rsid w:val="00062577"/>
    <w:rsid w:val="000628DF"/>
    <w:rsid w:val="00062F40"/>
    <w:rsid w:val="00063FC0"/>
    <w:rsid w:val="00064CCF"/>
    <w:rsid w:val="0006519D"/>
    <w:rsid w:val="00065CA9"/>
    <w:rsid w:val="0006731B"/>
    <w:rsid w:val="00070934"/>
    <w:rsid w:val="000718A3"/>
    <w:rsid w:val="00073642"/>
    <w:rsid w:val="000754F2"/>
    <w:rsid w:val="0007726C"/>
    <w:rsid w:val="00082353"/>
    <w:rsid w:val="000824D3"/>
    <w:rsid w:val="000838AE"/>
    <w:rsid w:val="00085009"/>
    <w:rsid w:val="000858AA"/>
    <w:rsid w:val="00091A24"/>
    <w:rsid w:val="0009336F"/>
    <w:rsid w:val="00095C6B"/>
    <w:rsid w:val="00096E7E"/>
    <w:rsid w:val="000972BC"/>
    <w:rsid w:val="000A03B1"/>
    <w:rsid w:val="000A1753"/>
    <w:rsid w:val="000A4EFC"/>
    <w:rsid w:val="000B299C"/>
    <w:rsid w:val="000B368B"/>
    <w:rsid w:val="000B63B4"/>
    <w:rsid w:val="000B63EB"/>
    <w:rsid w:val="000C0F37"/>
    <w:rsid w:val="000C1D31"/>
    <w:rsid w:val="000C61AC"/>
    <w:rsid w:val="000D1B9D"/>
    <w:rsid w:val="000D1DF5"/>
    <w:rsid w:val="000D2516"/>
    <w:rsid w:val="000D42A0"/>
    <w:rsid w:val="000D55E1"/>
    <w:rsid w:val="000D6CCB"/>
    <w:rsid w:val="000D7916"/>
    <w:rsid w:val="000E1616"/>
    <w:rsid w:val="000E2D7E"/>
    <w:rsid w:val="000E3DD1"/>
    <w:rsid w:val="000E617E"/>
    <w:rsid w:val="000E6650"/>
    <w:rsid w:val="000E7BE4"/>
    <w:rsid w:val="000F07CE"/>
    <w:rsid w:val="000F4C7E"/>
    <w:rsid w:val="000F5909"/>
    <w:rsid w:val="000F6EC0"/>
    <w:rsid w:val="000F7576"/>
    <w:rsid w:val="000F7E19"/>
    <w:rsid w:val="001004A3"/>
    <w:rsid w:val="001018DB"/>
    <w:rsid w:val="0010452B"/>
    <w:rsid w:val="00106CE3"/>
    <w:rsid w:val="00107C21"/>
    <w:rsid w:val="00110F42"/>
    <w:rsid w:val="001115B7"/>
    <w:rsid w:val="001145BE"/>
    <w:rsid w:val="00114738"/>
    <w:rsid w:val="001148E5"/>
    <w:rsid w:val="00114B7C"/>
    <w:rsid w:val="00115D62"/>
    <w:rsid w:val="00116CFB"/>
    <w:rsid w:val="0011736E"/>
    <w:rsid w:val="0011750D"/>
    <w:rsid w:val="00122288"/>
    <w:rsid w:val="0012242D"/>
    <w:rsid w:val="00125E3D"/>
    <w:rsid w:val="00126425"/>
    <w:rsid w:val="00126430"/>
    <w:rsid w:val="00130E43"/>
    <w:rsid w:val="001347CF"/>
    <w:rsid w:val="00135D46"/>
    <w:rsid w:val="0014668A"/>
    <w:rsid w:val="00147B5A"/>
    <w:rsid w:val="00151CC4"/>
    <w:rsid w:val="00151E18"/>
    <w:rsid w:val="00152A19"/>
    <w:rsid w:val="00153CF1"/>
    <w:rsid w:val="00154979"/>
    <w:rsid w:val="00157A96"/>
    <w:rsid w:val="00161DF8"/>
    <w:rsid w:val="0016264B"/>
    <w:rsid w:val="00162A86"/>
    <w:rsid w:val="00163249"/>
    <w:rsid w:val="00163F80"/>
    <w:rsid w:val="001641ED"/>
    <w:rsid w:val="0016613B"/>
    <w:rsid w:val="0016771C"/>
    <w:rsid w:val="001712E1"/>
    <w:rsid w:val="00171988"/>
    <w:rsid w:val="00172F17"/>
    <w:rsid w:val="00175D86"/>
    <w:rsid w:val="0017602C"/>
    <w:rsid w:val="00176543"/>
    <w:rsid w:val="0018199B"/>
    <w:rsid w:val="00186DDD"/>
    <w:rsid w:val="00187193"/>
    <w:rsid w:val="001872C6"/>
    <w:rsid w:val="00187837"/>
    <w:rsid w:val="00192693"/>
    <w:rsid w:val="0019496D"/>
    <w:rsid w:val="00194F97"/>
    <w:rsid w:val="00196E7C"/>
    <w:rsid w:val="00197A85"/>
    <w:rsid w:val="001A0D11"/>
    <w:rsid w:val="001A21A1"/>
    <w:rsid w:val="001A3B01"/>
    <w:rsid w:val="001B1FE1"/>
    <w:rsid w:val="001B3419"/>
    <w:rsid w:val="001B3576"/>
    <w:rsid w:val="001B5698"/>
    <w:rsid w:val="001B609B"/>
    <w:rsid w:val="001C1D32"/>
    <w:rsid w:val="001C3F6A"/>
    <w:rsid w:val="001C5400"/>
    <w:rsid w:val="001C636A"/>
    <w:rsid w:val="001C7197"/>
    <w:rsid w:val="001D3AE0"/>
    <w:rsid w:val="001D3F15"/>
    <w:rsid w:val="001D3FCB"/>
    <w:rsid w:val="001D512C"/>
    <w:rsid w:val="001D6F9F"/>
    <w:rsid w:val="001E30B6"/>
    <w:rsid w:val="001E4D1A"/>
    <w:rsid w:val="001E5BE3"/>
    <w:rsid w:val="001E5DBC"/>
    <w:rsid w:val="001F2F48"/>
    <w:rsid w:val="001F31EB"/>
    <w:rsid w:val="001F41B0"/>
    <w:rsid w:val="001F4D55"/>
    <w:rsid w:val="002027C7"/>
    <w:rsid w:val="00202DD6"/>
    <w:rsid w:val="002075EE"/>
    <w:rsid w:val="00211523"/>
    <w:rsid w:val="002118FB"/>
    <w:rsid w:val="00216157"/>
    <w:rsid w:val="0022213D"/>
    <w:rsid w:val="00222676"/>
    <w:rsid w:val="00222B9B"/>
    <w:rsid w:val="00223E72"/>
    <w:rsid w:val="002242E9"/>
    <w:rsid w:val="002243D9"/>
    <w:rsid w:val="00232B91"/>
    <w:rsid w:val="00232F2A"/>
    <w:rsid w:val="002353BF"/>
    <w:rsid w:val="002358F7"/>
    <w:rsid w:val="00235DA3"/>
    <w:rsid w:val="00240357"/>
    <w:rsid w:val="002406EF"/>
    <w:rsid w:val="002424F5"/>
    <w:rsid w:val="00242F5B"/>
    <w:rsid w:val="00243382"/>
    <w:rsid w:val="002453E2"/>
    <w:rsid w:val="002460B9"/>
    <w:rsid w:val="0024639A"/>
    <w:rsid w:val="00250ABC"/>
    <w:rsid w:val="00251351"/>
    <w:rsid w:val="00251FC7"/>
    <w:rsid w:val="002527B5"/>
    <w:rsid w:val="0025595A"/>
    <w:rsid w:val="0025757A"/>
    <w:rsid w:val="00260969"/>
    <w:rsid w:val="002618B0"/>
    <w:rsid w:val="0026302D"/>
    <w:rsid w:val="00265FA0"/>
    <w:rsid w:val="002677DF"/>
    <w:rsid w:val="00270484"/>
    <w:rsid w:val="002713DE"/>
    <w:rsid w:val="002714FC"/>
    <w:rsid w:val="0027188E"/>
    <w:rsid w:val="00271969"/>
    <w:rsid w:val="0027359D"/>
    <w:rsid w:val="00274A51"/>
    <w:rsid w:val="0027684C"/>
    <w:rsid w:val="00276960"/>
    <w:rsid w:val="00276F27"/>
    <w:rsid w:val="00281DE9"/>
    <w:rsid w:val="00282797"/>
    <w:rsid w:val="002828DA"/>
    <w:rsid w:val="00284721"/>
    <w:rsid w:val="002851DB"/>
    <w:rsid w:val="00285F6C"/>
    <w:rsid w:val="00287964"/>
    <w:rsid w:val="0029093C"/>
    <w:rsid w:val="002909E0"/>
    <w:rsid w:val="002924BF"/>
    <w:rsid w:val="002924E1"/>
    <w:rsid w:val="002955C9"/>
    <w:rsid w:val="00295C93"/>
    <w:rsid w:val="002977D1"/>
    <w:rsid w:val="00297B17"/>
    <w:rsid w:val="00297DBC"/>
    <w:rsid w:val="002A4873"/>
    <w:rsid w:val="002A6230"/>
    <w:rsid w:val="002A63DF"/>
    <w:rsid w:val="002A6F8F"/>
    <w:rsid w:val="002B1376"/>
    <w:rsid w:val="002B47C5"/>
    <w:rsid w:val="002B572F"/>
    <w:rsid w:val="002B64D7"/>
    <w:rsid w:val="002C1928"/>
    <w:rsid w:val="002C21DD"/>
    <w:rsid w:val="002C4568"/>
    <w:rsid w:val="002C4CEF"/>
    <w:rsid w:val="002C6034"/>
    <w:rsid w:val="002C6698"/>
    <w:rsid w:val="002C6C2A"/>
    <w:rsid w:val="002D131C"/>
    <w:rsid w:val="002D5060"/>
    <w:rsid w:val="002D5DC2"/>
    <w:rsid w:val="002D7920"/>
    <w:rsid w:val="002E0311"/>
    <w:rsid w:val="002E1ECA"/>
    <w:rsid w:val="002E2309"/>
    <w:rsid w:val="002E3376"/>
    <w:rsid w:val="002E5856"/>
    <w:rsid w:val="002E6376"/>
    <w:rsid w:val="002E66BF"/>
    <w:rsid w:val="002E6DEA"/>
    <w:rsid w:val="002F09F5"/>
    <w:rsid w:val="002F5816"/>
    <w:rsid w:val="002F61C4"/>
    <w:rsid w:val="00306363"/>
    <w:rsid w:val="0030761C"/>
    <w:rsid w:val="00307A4B"/>
    <w:rsid w:val="00313F86"/>
    <w:rsid w:val="00320766"/>
    <w:rsid w:val="00323CE3"/>
    <w:rsid w:val="003246DC"/>
    <w:rsid w:val="00325F50"/>
    <w:rsid w:val="003324A7"/>
    <w:rsid w:val="00332DAE"/>
    <w:rsid w:val="0033396B"/>
    <w:rsid w:val="00333BA4"/>
    <w:rsid w:val="00334E48"/>
    <w:rsid w:val="003377EE"/>
    <w:rsid w:val="00340068"/>
    <w:rsid w:val="00341677"/>
    <w:rsid w:val="0034197A"/>
    <w:rsid w:val="00346212"/>
    <w:rsid w:val="00347674"/>
    <w:rsid w:val="0034789D"/>
    <w:rsid w:val="003502CB"/>
    <w:rsid w:val="003509AB"/>
    <w:rsid w:val="003543FC"/>
    <w:rsid w:val="0035480B"/>
    <w:rsid w:val="00356D63"/>
    <w:rsid w:val="00360A2B"/>
    <w:rsid w:val="00361C07"/>
    <w:rsid w:val="00363846"/>
    <w:rsid w:val="003649A5"/>
    <w:rsid w:val="00364F7D"/>
    <w:rsid w:val="00370B89"/>
    <w:rsid w:val="00370DAC"/>
    <w:rsid w:val="003724E7"/>
    <w:rsid w:val="003734DB"/>
    <w:rsid w:val="00374352"/>
    <w:rsid w:val="00376386"/>
    <w:rsid w:val="00376B74"/>
    <w:rsid w:val="00377FDD"/>
    <w:rsid w:val="003800D1"/>
    <w:rsid w:val="00380743"/>
    <w:rsid w:val="003816B1"/>
    <w:rsid w:val="00383069"/>
    <w:rsid w:val="00383D8E"/>
    <w:rsid w:val="00384C53"/>
    <w:rsid w:val="00385CDA"/>
    <w:rsid w:val="00386898"/>
    <w:rsid w:val="00386C46"/>
    <w:rsid w:val="00391264"/>
    <w:rsid w:val="00391531"/>
    <w:rsid w:val="00392DE0"/>
    <w:rsid w:val="003A1DBA"/>
    <w:rsid w:val="003A3872"/>
    <w:rsid w:val="003A653D"/>
    <w:rsid w:val="003B0F12"/>
    <w:rsid w:val="003B11DD"/>
    <w:rsid w:val="003B1596"/>
    <w:rsid w:val="003B33F0"/>
    <w:rsid w:val="003B3E2B"/>
    <w:rsid w:val="003B5E95"/>
    <w:rsid w:val="003B6F13"/>
    <w:rsid w:val="003C02F5"/>
    <w:rsid w:val="003C0FA3"/>
    <w:rsid w:val="003C1923"/>
    <w:rsid w:val="003C4570"/>
    <w:rsid w:val="003C5EA8"/>
    <w:rsid w:val="003C6735"/>
    <w:rsid w:val="003D071A"/>
    <w:rsid w:val="003D3092"/>
    <w:rsid w:val="003D3E09"/>
    <w:rsid w:val="003D5664"/>
    <w:rsid w:val="003D7855"/>
    <w:rsid w:val="003E140B"/>
    <w:rsid w:val="003E156D"/>
    <w:rsid w:val="003E1C0B"/>
    <w:rsid w:val="003E2A2D"/>
    <w:rsid w:val="003E2F8C"/>
    <w:rsid w:val="003E376E"/>
    <w:rsid w:val="003E5136"/>
    <w:rsid w:val="003E5980"/>
    <w:rsid w:val="003E7BA1"/>
    <w:rsid w:val="003F0F36"/>
    <w:rsid w:val="003F38CC"/>
    <w:rsid w:val="003F3B74"/>
    <w:rsid w:val="003F3B99"/>
    <w:rsid w:val="003F54A8"/>
    <w:rsid w:val="003F5D8B"/>
    <w:rsid w:val="003F5F16"/>
    <w:rsid w:val="003F74EC"/>
    <w:rsid w:val="00400F8E"/>
    <w:rsid w:val="004014C5"/>
    <w:rsid w:val="0040279C"/>
    <w:rsid w:val="004032C7"/>
    <w:rsid w:val="0040344C"/>
    <w:rsid w:val="00405833"/>
    <w:rsid w:val="00410BBA"/>
    <w:rsid w:val="00410E87"/>
    <w:rsid w:val="004116A3"/>
    <w:rsid w:val="004119AE"/>
    <w:rsid w:val="004122BE"/>
    <w:rsid w:val="004131D5"/>
    <w:rsid w:val="0041663C"/>
    <w:rsid w:val="00417019"/>
    <w:rsid w:val="004202A0"/>
    <w:rsid w:val="00423238"/>
    <w:rsid w:val="00424E89"/>
    <w:rsid w:val="00425177"/>
    <w:rsid w:val="00425210"/>
    <w:rsid w:val="00425683"/>
    <w:rsid w:val="00430255"/>
    <w:rsid w:val="004314A0"/>
    <w:rsid w:val="00431DAF"/>
    <w:rsid w:val="0043219B"/>
    <w:rsid w:val="0043437B"/>
    <w:rsid w:val="004343E7"/>
    <w:rsid w:val="004352AB"/>
    <w:rsid w:val="0044495F"/>
    <w:rsid w:val="004454F5"/>
    <w:rsid w:val="00445FAE"/>
    <w:rsid w:val="00447B43"/>
    <w:rsid w:val="004505F0"/>
    <w:rsid w:val="004509EA"/>
    <w:rsid w:val="00450DFA"/>
    <w:rsid w:val="00452734"/>
    <w:rsid w:val="00454D7C"/>
    <w:rsid w:val="004551BE"/>
    <w:rsid w:val="00455471"/>
    <w:rsid w:val="00457380"/>
    <w:rsid w:val="00460008"/>
    <w:rsid w:val="00460112"/>
    <w:rsid w:val="004614E1"/>
    <w:rsid w:val="004617E0"/>
    <w:rsid w:val="004621F4"/>
    <w:rsid w:val="004629AE"/>
    <w:rsid w:val="00462AC8"/>
    <w:rsid w:val="00462E2D"/>
    <w:rsid w:val="00463B01"/>
    <w:rsid w:val="00466441"/>
    <w:rsid w:val="0046693C"/>
    <w:rsid w:val="00466ED9"/>
    <w:rsid w:val="00466FF0"/>
    <w:rsid w:val="00470547"/>
    <w:rsid w:val="00473CD5"/>
    <w:rsid w:val="00473EFA"/>
    <w:rsid w:val="0047513E"/>
    <w:rsid w:val="004756B1"/>
    <w:rsid w:val="00481372"/>
    <w:rsid w:val="00482075"/>
    <w:rsid w:val="00482234"/>
    <w:rsid w:val="00483462"/>
    <w:rsid w:val="004839D9"/>
    <w:rsid w:val="00484827"/>
    <w:rsid w:val="004853DE"/>
    <w:rsid w:val="0049103B"/>
    <w:rsid w:val="00491055"/>
    <w:rsid w:val="00491151"/>
    <w:rsid w:val="00491E29"/>
    <w:rsid w:val="00491E94"/>
    <w:rsid w:val="00493D4A"/>
    <w:rsid w:val="00495307"/>
    <w:rsid w:val="00496655"/>
    <w:rsid w:val="00497F6D"/>
    <w:rsid w:val="004A0687"/>
    <w:rsid w:val="004A1580"/>
    <w:rsid w:val="004A281F"/>
    <w:rsid w:val="004A2ACF"/>
    <w:rsid w:val="004A2FCF"/>
    <w:rsid w:val="004A7599"/>
    <w:rsid w:val="004B05A4"/>
    <w:rsid w:val="004B19E3"/>
    <w:rsid w:val="004B230D"/>
    <w:rsid w:val="004B4C0F"/>
    <w:rsid w:val="004B5291"/>
    <w:rsid w:val="004C0843"/>
    <w:rsid w:val="004C3A5B"/>
    <w:rsid w:val="004C5144"/>
    <w:rsid w:val="004C7142"/>
    <w:rsid w:val="004C7536"/>
    <w:rsid w:val="004C7BB7"/>
    <w:rsid w:val="004D10BF"/>
    <w:rsid w:val="004D1170"/>
    <w:rsid w:val="004D3977"/>
    <w:rsid w:val="004D4B39"/>
    <w:rsid w:val="004D4D9F"/>
    <w:rsid w:val="004D558C"/>
    <w:rsid w:val="004D7D9C"/>
    <w:rsid w:val="004E0FDC"/>
    <w:rsid w:val="004E3BF3"/>
    <w:rsid w:val="004E5B7E"/>
    <w:rsid w:val="004E64C0"/>
    <w:rsid w:val="004E76A0"/>
    <w:rsid w:val="004F1DC5"/>
    <w:rsid w:val="004F2B04"/>
    <w:rsid w:val="004F37FA"/>
    <w:rsid w:val="004F3F37"/>
    <w:rsid w:val="004F60B5"/>
    <w:rsid w:val="004F716D"/>
    <w:rsid w:val="004F718F"/>
    <w:rsid w:val="004F72EA"/>
    <w:rsid w:val="004F7E17"/>
    <w:rsid w:val="0050122B"/>
    <w:rsid w:val="0050133C"/>
    <w:rsid w:val="005019DE"/>
    <w:rsid w:val="005030D8"/>
    <w:rsid w:val="00503C82"/>
    <w:rsid w:val="00504AA2"/>
    <w:rsid w:val="00504BB4"/>
    <w:rsid w:val="00504E8A"/>
    <w:rsid w:val="0050778F"/>
    <w:rsid w:val="005079B2"/>
    <w:rsid w:val="00507D6D"/>
    <w:rsid w:val="0051229D"/>
    <w:rsid w:val="005128EE"/>
    <w:rsid w:val="0051472A"/>
    <w:rsid w:val="00514957"/>
    <w:rsid w:val="00515475"/>
    <w:rsid w:val="005154E3"/>
    <w:rsid w:val="0051575F"/>
    <w:rsid w:val="00521F44"/>
    <w:rsid w:val="00523BF7"/>
    <w:rsid w:val="0052655D"/>
    <w:rsid w:val="005265B8"/>
    <w:rsid w:val="005266BA"/>
    <w:rsid w:val="0053017E"/>
    <w:rsid w:val="00533353"/>
    <w:rsid w:val="0053340B"/>
    <w:rsid w:val="00536E78"/>
    <w:rsid w:val="00537596"/>
    <w:rsid w:val="00537BB4"/>
    <w:rsid w:val="00540882"/>
    <w:rsid w:val="005432B1"/>
    <w:rsid w:val="00543C9F"/>
    <w:rsid w:val="00543DB9"/>
    <w:rsid w:val="00544E75"/>
    <w:rsid w:val="00547AD9"/>
    <w:rsid w:val="00550DF8"/>
    <w:rsid w:val="00552206"/>
    <w:rsid w:val="0055258E"/>
    <w:rsid w:val="00556C2B"/>
    <w:rsid w:val="005604C9"/>
    <w:rsid w:val="00560CDD"/>
    <w:rsid w:val="00563302"/>
    <w:rsid w:val="00563BB1"/>
    <w:rsid w:val="0056660B"/>
    <w:rsid w:val="00570A04"/>
    <w:rsid w:val="00570D7C"/>
    <w:rsid w:val="0057108D"/>
    <w:rsid w:val="005713F7"/>
    <w:rsid w:val="00572134"/>
    <w:rsid w:val="00574D0C"/>
    <w:rsid w:val="00575FF8"/>
    <w:rsid w:val="005762DD"/>
    <w:rsid w:val="00580483"/>
    <w:rsid w:val="0058609A"/>
    <w:rsid w:val="00586284"/>
    <w:rsid w:val="0058767C"/>
    <w:rsid w:val="005908AE"/>
    <w:rsid w:val="00592564"/>
    <w:rsid w:val="005925ED"/>
    <w:rsid w:val="00592654"/>
    <w:rsid w:val="00592C30"/>
    <w:rsid w:val="00593BDE"/>
    <w:rsid w:val="005959A5"/>
    <w:rsid w:val="00597262"/>
    <w:rsid w:val="00597626"/>
    <w:rsid w:val="00597A65"/>
    <w:rsid w:val="005A2302"/>
    <w:rsid w:val="005A4179"/>
    <w:rsid w:val="005A43BF"/>
    <w:rsid w:val="005A5E2F"/>
    <w:rsid w:val="005A710C"/>
    <w:rsid w:val="005A7F75"/>
    <w:rsid w:val="005B07A3"/>
    <w:rsid w:val="005B483B"/>
    <w:rsid w:val="005B7F01"/>
    <w:rsid w:val="005C1DFE"/>
    <w:rsid w:val="005C5387"/>
    <w:rsid w:val="005C633A"/>
    <w:rsid w:val="005C663D"/>
    <w:rsid w:val="005C6BAF"/>
    <w:rsid w:val="005D0C01"/>
    <w:rsid w:val="005D100A"/>
    <w:rsid w:val="005D250E"/>
    <w:rsid w:val="005D2F24"/>
    <w:rsid w:val="005D45DF"/>
    <w:rsid w:val="005D66B4"/>
    <w:rsid w:val="005E005A"/>
    <w:rsid w:val="005E0F45"/>
    <w:rsid w:val="005E23D6"/>
    <w:rsid w:val="005E7AC9"/>
    <w:rsid w:val="005F2336"/>
    <w:rsid w:val="005F4A76"/>
    <w:rsid w:val="005F596B"/>
    <w:rsid w:val="005F5E31"/>
    <w:rsid w:val="0060052B"/>
    <w:rsid w:val="00601071"/>
    <w:rsid w:val="006019A3"/>
    <w:rsid w:val="006039D6"/>
    <w:rsid w:val="00604E9B"/>
    <w:rsid w:val="00606DEA"/>
    <w:rsid w:val="0060796A"/>
    <w:rsid w:val="00610CCA"/>
    <w:rsid w:val="0061318A"/>
    <w:rsid w:val="00614FAA"/>
    <w:rsid w:val="006245C4"/>
    <w:rsid w:val="00624A08"/>
    <w:rsid w:val="0062672D"/>
    <w:rsid w:val="006325B6"/>
    <w:rsid w:val="006326AA"/>
    <w:rsid w:val="0063312B"/>
    <w:rsid w:val="00636699"/>
    <w:rsid w:val="006369EB"/>
    <w:rsid w:val="00637FA2"/>
    <w:rsid w:val="00640CE5"/>
    <w:rsid w:val="00641BCA"/>
    <w:rsid w:val="00643EA6"/>
    <w:rsid w:val="00644496"/>
    <w:rsid w:val="00645700"/>
    <w:rsid w:val="0064625F"/>
    <w:rsid w:val="00646C4B"/>
    <w:rsid w:val="00647436"/>
    <w:rsid w:val="00652400"/>
    <w:rsid w:val="006550C6"/>
    <w:rsid w:val="006559E4"/>
    <w:rsid w:val="00655AE2"/>
    <w:rsid w:val="00661FC8"/>
    <w:rsid w:val="00662FDA"/>
    <w:rsid w:val="00663DAA"/>
    <w:rsid w:val="00664EFF"/>
    <w:rsid w:val="006651F4"/>
    <w:rsid w:val="00665E7D"/>
    <w:rsid w:val="006673DF"/>
    <w:rsid w:val="00673546"/>
    <w:rsid w:val="00673B78"/>
    <w:rsid w:val="00674E32"/>
    <w:rsid w:val="00675EE9"/>
    <w:rsid w:val="00676545"/>
    <w:rsid w:val="00676A78"/>
    <w:rsid w:val="006772F5"/>
    <w:rsid w:val="006779E5"/>
    <w:rsid w:val="00681635"/>
    <w:rsid w:val="00682775"/>
    <w:rsid w:val="00684056"/>
    <w:rsid w:val="00684A6F"/>
    <w:rsid w:val="00684BFD"/>
    <w:rsid w:val="00684CC7"/>
    <w:rsid w:val="006872BC"/>
    <w:rsid w:val="006876F3"/>
    <w:rsid w:val="00692965"/>
    <w:rsid w:val="00695A0A"/>
    <w:rsid w:val="006A0664"/>
    <w:rsid w:val="006A0BA7"/>
    <w:rsid w:val="006A332F"/>
    <w:rsid w:val="006A35BF"/>
    <w:rsid w:val="006A3A89"/>
    <w:rsid w:val="006B170D"/>
    <w:rsid w:val="006B1BC2"/>
    <w:rsid w:val="006B2218"/>
    <w:rsid w:val="006B2329"/>
    <w:rsid w:val="006B321F"/>
    <w:rsid w:val="006B33DF"/>
    <w:rsid w:val="006B4057"/>
    <w:rsid w:val="006B6914"/>
    <w:rsid w:val="006C10C7"/>
    <w:rsid w:val="006C25DC"/>
    <w:rsid w:val="006C3C42"/>
    <w:rsid w:val="006C6F6E"/>
    <w:rsid w:val="006D057B"/>
    <w:rsid w:val="006D0CBB"/>
    <w:rsid w:val="006D1CA2"/>
    <w:rsid w:val="006D3139"/>
    <w:rsid w:val="006D42C7"/>
    <w:rsid w:val="006D4A2F"/>
    <w:rsid w:val="006D5ED0"/>
    <w:rsid w:val="006D5F93"/>
    <w:rsid w:val="006E15DC"/>
    <w:rsid w:val="006E3B88"/>
    <w:rsid w:val="006E64A8"/>
    <w:rsid w:val="006E68E1"/>
    <w:rsid w:val="006E7BF6"/>
    <w:rsid w:val="006F47EA"/>
    <w:rsid w:val="006F59FD"/>
    <w:rsid w:val="006F5A15"/>
    <w:rsid w:val="006F6652"/>
    <w:rsid w:val="006F7796"/>
    <w:rsid w:val="007012BA"/>
    <w:rsid w:val="00702EFE"/>
    <w:rsid w:val="00710A56"/>
    <w:rsid w:val="00711C7A"/>
    <w:rsid w:val="00720A8E"/>
    <w:rsid w:val="00720CB8"/>
    <w:rsid w:val="007235A2"/>
    <w:rsid w:val="00723615"/>
    <w:rsid w:val="00723BDB"/>
    <w:rsid w:val="00725129"/>
    <w:rsid w:val="00730365"/>
    <w:rsid w:val="00733C38"/>
    <w:rsid w:val="00733FA9"/>
    <w:rsid w:val="007364F1"/>
    <w:rsid w:val="00741F6A"/>
    <w:rsid w:val="007423D6"/>
    <w:rsid w:val="00742D7B"/>
    <w:rsid w:val="007439C6"/>
    <w:rsid w:val="00745CF9"/>
    <w:rsid w:val="007509D6"/>
    <w:rsid w:val="00750B42"/>
    <w:rsid w:val="00753605"/>
    <w:rsid w:val="00753A4D"/>
    <w:rsid w:val="00754491"/>
    <w:rsid w:val="00754BA6"/>
    <w:rsid w:val="00757118"/>
    <w:rsid w:val="00757C24"/>
    <w:rsid w:val="0076009C"/>
    <w:rsid w:val="00767CDB"/>
    <w:rsid w:val="0077013D"/>
    <w:rsid w:val="00772832"/>
    <w:rsid w:val="00772EFD"/>
    <w:rsid w:val="00775E50"/>
    <w:rsid w:val="00776951"/>
    <w:rsid w:val="0078172C"/>
    <w:rsid w:val="00783C36"/>
    <w:rsid w:val="00785713"/>
    <w:rsid w:val="00787579"/>
    <w:rsid w:val="00787BF9"/>
    <w:rsid w:val="00790DFF"/>
    <w:rsid w:val="007943A5"/>
    <w:rsid w:val="007944F8"/>
    <w:rsid w:val="0079477E"/>
    <w:rsid w:val="007953F9"/>
    <w:rsid w:val="00797983"/>
    <w:rsid w:val="007A09B6"/>
    <w:rsid w:val="007A0A7C"/>
    <w:rsid w:val="007A0DC7"/>
    <w:rsid w:val="007A16D5"/>
    <w:rsid w:val="007A1931"/>
    <w:rsid w:val="007A1AEE"/>
    <w:rsid w:val="007A2F92"/>
    <w:rsid w:val="007A6762"/>
    <w:rsid w:val="007B2876"/>
    <w:rsid w:val="007B3B46"/>
    <w:rsid w:val="007B404D"/>
    <w:rsid w:val="007B41B2"/>
    <w:rsid w:val="007B5F15"/>
    <w:rsid w:val="007C0315"/>
    <w:rsid w:val="007C13AD"/>
    <w:rsid w:val="007C3358"/>
    <w:rsid w:val="007C5FE5"/>
    <w:rsid w:val="007D0080"/>
    <w:rsid w:val="007D46AE"/>
    <w:rsid w:val="007D48FB"/>
    <w:rsid w:val="007D55CE"/>
    <w:rsid w:val="007D59ED"/>
    <w:rsid w:val="007D6946"/>
    <w:rsid w:val="007F015A"/>
    <w:rsid w:val="007F04A3"/>
    <w:rsid w:val="007F0C26"/>
    <w:rsid w:val="007F1B73"/>
    <w:rsid w:val="007F3379"/>
    <w:rsid w:val="007F5363"/>
    <w:rsid w:val="007F7A54"/>
    <w:rsid w:val="0080176D"/>
    <w:rsid w:val="00802081"/>
    <w:rsid w:val="00803269"/>
    <w:rsid w:val="00803615"/>
    <w:rsid w:val="008046B9"/>
    <w:rsid w:val="00804E37"/>
    <w:rsid w:val="00815525"/>
    <w:rsid w:val="0081656A"/>
    <w:rsid w:val="00816BC9"/>
    <w:rsid w:val="008175B7"/>
    <w:rsid w:val="0082343B"/>
    <w:rsid w:val="00825217"/>
    <w:rsid w:val="00826866"/>
    <w:rsid w:val="00830C69"/>
    <w:rsid w:val="00835736"/>
    <w:rsid w:val="0083625E"/>
    <w:rsid w:val="00836479"/>
    <w:rsid w:val="0083666D"/>
    <w:rsid w:val="00836ADA"/>
    <w:rsid w:val="00840206"/>
    <w:rsid w:val="00841F0F"/>
    <w:rsid w:val="008467C0"/>
    <w:rsid w:val="008539B5"/>
    <w:rsid w:val="00861809"/>
    <w:rsid w:val="0086491F"/>
    <w:rsid w:val="008715B2"/>
    <w:rsid w:val="00873F44"/>
    <w:rsid w:val="00877782"/>
    <w:rsid w:val="00881037"/>
    <w:rsid w:val="00881EE2"/>
    <w:rsid w:val="0089271A"/>
    <w:rsid w:val="00896394"/>
    <w:rsid w:val="008976D0"/>
    <w:rsid w:val="0089795B"/>
    <w:rsid w:val="00897FA9"/>
    <w:rsid w:val="008A0FD1"/>
    <w:rsid w:val="008A1B44"/>
    <w:rsid w:val="008A2CBA"/>
    <w:rsid w:val="008A3E8A"/>
    <w:rsid w:val="008B406E"/>
    <w:rsid w:val="008B5218"/>
    <w:rsid w:val="008C1C9C"/>
    <w:rsid w:val="008C22CF"/>
    <w:rsid w:val="008C4B7C"/>
    <w:rsid w:val="008D0691"/>
    <w:rsid w:val="008D132C"/>
    <w:rsid w:val="008D148A"/>
    <w:rsid w:val="008D245A"/>
    <w:rsid w:val="008D50E6"/>
    <w:rsid w:val="008E160C"/>
    <w:rsid w:val="008E29BA"/>
    <w:rsid w:val="008E797E"/>
    <w:rsid w:val="008F004C"/>
    <w:rsid w:val="008F04AA"/>
    <w:rsid w:val="008F1394"/>
    <w:rsid w:val="008F1BE6"/>
    <w:rsid w:val="008F31C4"/>
    <w:rsid w:val="008F46CB"/>
    <w:rsid w:val="008F4842"/>
    <w:rsid w:val="008F5083"/>
    <w:rsid w:val="008F5101"/>
    <w:rsid w:val="008F5D16"/>
    <w:rsid w:val="008F5DF3"/>
    <w:rsid w:val="008F6032"/>
    <w:rsid w:val="00901D37"/>
    <w:rsid w:val="00903626"/>
    <w:rsid w:val="00906127"/>
    <w:rsid w:val="00911411"/>
    <w:rsid w:val="0091254D"/>
    <w:rsid w:val="00912C0E"/>
    <w:rsid w:val="00913FD3"/>
    <w:rsid w:val="00914216"/>
    <w:rsid w:val="0091519F"/>
    <w:rsid w:val="00926FC9"/>
    <w:rsid w:val="0093078A"/>
    <w:rsid w:val="00931B02"/>
    <w:rsid w:val="00931FC1"/>
    <w:rsid w:val="00932AB8"/>
    <w:rsid w:val="00933168"/>
    <w:rsid w:val="00934F4A"/>
    <w:rsid w:val="009351CA"/>
    <w:rsid w:val="00935559"/>
    <w:rsid w:val="00935A1A"/>
    <w:rsid w:val="00935EDC"/>
    <w:rsid w:val="009361DF"/>
    <w:rsid w:val="009418DE"/>
    <w:rsid w:val="00942275"/>
    <w:rsid w:val="00943279"/>
    <w:rsid w:val="0094341A"/>
    <w:rsid w:val="0094390E"/>
    <w:rsid w:val="00944F3B"/>
    <w:rsid w:val="00946C6B"/>
    <w:rsid w:val="00951325"/>
    <w:rsid w:val="0095234B"/>
    <w:rsid w:val="00952AD3"/>
    <w:rsid w:val="00953234"/>
    <w:rsid w:val="0095352E"/>
    <w:rsid w:val="00960DFB"/>
    <w:rsid w:val="00963D27"/>
    <w:rsid w:val="0096525D"/>
    <w:rsid w:val="0096610E"/>
    <w:rsid w:val="00967845"/>
    <w:rsid w:val="00970897"/>
    <w:rsid w:val="009734D6"/>
    <w:rsid w:val="00973DFD"/>
    <w:rsid w:val="0097638C"/>
    <w:rsid w:val="0098073B"/>
    <w:rsid w:val="009834BA"/>
    <w:rsid w:val="00985CB5"/>
    <w:rsid w:val="00985FF4"/>
    <w:rsid w:val="00990880"/>
    <w:rsid w:val="00990A99"/>
    <w:rsid w:val="00991FFE"/>
    <w:rsid w:val="0099201C"/>
    <w:rsid w:val="00992132"/>
    <w:rsid w:val="00992822"/>
    <w:rsid w:val="00992966"/>
    <w:rsid w:val="009934DD"/>
    <w:rsid w:val="00993C1F"/>
    <w:rsid w:val="009967E2"/>
    <w:rsid w:val="00997365"/>
    <w:rsid w:val="00997614"/>
    <w:rsid w:val="009A016B"/>
    <w:rsid w:val="009A08AD"/>
    <w:rsid w:val="009A0F1E"/>
    <w:rsid w:val="009A0FC7"/>
    <w:rsid w:val="009A1729"/>
    <w:rsid w:val="009A2E86"/>
    <w:rsid w:val="009A3047"/>
    <w:rsid w:val="009A34B6"/>
    <w:rsid w:val="009A59BD"/>
    <w:rsid w:val="009A6F8E"/>
    <w:rsid w:val="009A7669"/>
    <w:rsid w:val="009B0330"/>
    <w:rsid w:val="009B0A8E"/>
    <w:rsid w:val="009B0F86"/>
    <w:rsid w:val="009B2393"/>
    <w:rsid w:val="009B3553"/>
    <w:rsid w:val="009B3EE1"/>
    <w:rsid w:val="009B42D6"/>
    <w:rsid w:val="009B4B83"/>
    <w:rsid w:val="009B7353"/>
    <w:rsid w:val="009B7F12"/>
    <w:rsid w:val="009C0B4F"/>
    <w:rsid w:val="009C12AE"/>
    <w:rsid w:val="009C1550"/>
    <w:rsid w:val="009C2C13"/>
    <w:rsid w:val="009C3831"/>
    <w:rsid w:val="009C55DB"/>
    <w:rsid w:val="009C5A0E"/>
    <w:rsid w:val="009C7A94"/>
    <w:rsid w:val="009D0CF4"/>
    <w:rsid w:val="009D3BFF"/>
    <w:rsid w:val="009D6028"/>
    <w:rsid w:val="009D744B"/>
    <w:rsid w:val="009E0BCA"/>
    <w:rsid w:val="009E2016"/>
    <w:rsid w:val="009E2859"/>
    <w:rsid w:val="009E3063"/>
    <w:rsid w:val="009E3DA0"/>
    <w:rsid w:val="009E74AF"/>
    <w:rsid w:val="009F2B17"/>
    <w:rsid w:val="009F33E9"/>
    <w:rsid w:val="009F40B6"/>
    <w:rsid w:val="009F5330"/>
    <w:rsid w:val="009F53F2"/>
    <w:rsid w:val="00A0012B"/>
    <w:rsid w:val="00A012FE"/>
    <w:rsid w:val="00A02B1F"/>
    <w:rsid w:val="00A043B8"/>
    <w:rsid w:val="00A05ADB"/>
    <w:rsid w:val="00A07C29"/>
    <w:rsid w:val="00A10ABD"/>
    <w:rsid w:val="00A10F40"/>
    <w:rsid w:val="00A11559"/>
    <w:rsid w:val="00A13A94"/>
    <w:rsid w:val="00A1481F"/>
    <w:rsid w:val="00A15BD9"/>
    <w:rsid w:val="00A1710D"/>
    <w:rsid w:val="00A20B1E"/>
    <w:rsid w:val="00A26FFE"/>
    <w:rsid w:val="00A30BC3"/>
    <w:rsid w:val="00A32AF5"/>
    <w:rsid w:val="00A33D45"/>
    <w:rsid w:val="00A36CC1"/>
    <w:rsid w:val="00A43F67"/>
    <w:rsid w:val="00A452EC"/>
    <w:rsid w:val="00A46B23"/>
    <w:rsid w:val="00A46CC8"/>
    <w:rsid w:val="00A5064A"/>
    <w:rsid w:val="00A53C71"/>
    <w:rsid w:val="00A57525"/>
    <w:rsid w:val="00A643D2"/>
    <w:rsid w:val="00A646EE"/>
    <w:rsid w:val="00A65AA8"/>
    <w:rsid w:val="00A65FE0"/>
    <w:rsid w:val="00A714EE"/>
    <w:rsid w:val="00A71B17"/>
    <w:rsid w:val="00A83D76"/>
    <w:rsid w:val="00A84DF7"/>
    <w:rsid w:val="00A85940"/>
    <w:rsid w:val="00A87D2A"/>
    <w:rsid w:val="00A92D58"/>
    <w:rsid w:val="00A9371D"/>
    <w:rsid w:val="00A9408C"/>
    <w:rsid w:val="00A94B96"/>
    <w:rsid w:val="00A95BEC"/>
    <w:rsid w:val="00A963EE"/>
    <w:rsid w:val="00A96463"/>
    <w:rsid w:val="00A976B8"/>
    <w:rsid w:val="00AA02F1"/>
    <w:rsid w:val="00AA06D2"/>
    <w:rsid w:val="00AA0C7B"/>
    <w:rsid w:val="00AA3DD6"/>
    <w:rsid w:val="00AA62FF"/>
    <w:rsid w:val="00AB022A"/>
    <w:rsid w:val="00AB2D52"/>
    <w:rsid w:val="00AB2EC2"/>
    <w:rsid w:val="00AB3B29"/>
    <w:rsid w:val="00AB60E6"/>
    <w:rsid w:val="00AB6494"/>
    <w:rsid w:val="00AB6B94"/>
    <w:rsid w:val="00AC18AB"/>
    <w:rsid w:val="00AC216F"/>
    <w:rsid w:val="00AC3940"/>
    <w:rsid w:val="00AC468C"/>
    <w:rsid w:val="00AC657D"/>
    <w:rsid w:val="00AD1995"/>
    <w:rsid w:val="00AD24E3"/>
    <w:rsid w:val="00AD5891"/>
    <w:rsid w:val="00AD6EF0"/>
    <w:rsid w:val="00AD6EF2"/>
    <w:rsid w:val="00AD6FD3"/>
    <w:rsid w:val="00AD7F48"/>
    <w:rsid w:val="00AE0A81"/>
    <w:rsid w:val="00AE65BD"/>
    <w:rsid w:val="00AE6CB4"/>
    <w:rsid w:val="00AE7215"/>
    <w:rsid w:val="00AF4544"/>
    <w:rsid w:val="00AF4D08"/>
    <w:rsid w:val="00AF7DED"/>
    <w:rsid w:val="00B00199"/>
    <w:rsid w:val="00B00379"/>
    <w:rsid w:val="00B01942"/>
    <w:rsid w:val="00B021F8"/>
    <w:rsid w:val="00B03120"/>
    <w:rsid w:val="00B05352"/>
    <w:rsid w:val="00B057E4"/>
    <w:rsid w:val="00B06198"/>
    <w:rsid w:val="00B13CC0"/>
    <w:rsid w:val="00B14D29"/>
    <w:rsid w:val="00B16C6F"/>
    <w:rsid w:val="00B20175"/>
    <w:rsid w:val="00B20A85"/>
    <w:rsid w:val="00B21D1B"/>
    <w:rsid w:val="00B223AE"/>
    <w:rsid w:val="00B25078"/>
    <w:rsid w:val="00B25663"/>
    <w:rsid w:val="00B32D1B"/>
    <w:rsid w:val="00B354B0"/>
    <w:rsid w:val="00B3627E"/>
    <w:rsid w:val="00B368C2"/>
    <w:rsid w:val="00B4130B"/>
    <w:rsid w:val="00B41EDC"/>
    <w:rsid w:val="00B422A9"/>
    <w:rsid w:val="00B42D28"/>
    <w:rsid w:val="00B45838"/>
    <w:rsid w:val="00B46E72"/>
    <w:rsid w:val="00B476EC"/>
    <w:rsid w:val="00B50540"/>
    <w:rsid w:val="00B50B5C"/>
    <w:rsid w:val="00B53178"/>
    <w:rsid w:val="00B54470"/>
    <w:rsid w:val="00B54FCF"/>
    <w:rsid w:val="00B561BF"/>
    <w:rsid w:val="00B568C8"/>
    <w:rsid w:val="00B5792B"/>
    <w:rsid w:val="00B632CF"/>
    <w:rsid w:val="00B63413"/>
    <w:rsid w:val="00B658A2"/>
    <w:rsid w:val="00B65C8C"/>
    <w:rsid w:val="00B66908"/>
    <w:rsid w:val="00B71000"/>
    <w:rsid w:val="00B7173A"/>
    <w:rsid w:val="00B72185"/>
    <w:rsid w:val="00B7222B"/>
    <w:rsid w:val="00B738BB"/>
    <w:rsid w:val="00B76FAF"/>
    <w:rsid w:val="00B82960"/>
    <w:rsid w:val="00B82BCB"/>
    <w:rsid w:val="00B83D0C"/>
    <w:rsid w:val="00B8471D"/>
    <w:rsid w:val="00B84D19"/>
    <w:rsid w:val="00B90140"/>
    <w:rsid w:val="00B91EEC"/>
    <w:rsid w:val="00B92D59"/>
    <w:rsid w:val="00B92EBF"/>
    <w:rsid w:val="00B94331"/>
    <w:rsid w:val="00B945EC"/>
    <w:rsid w:val="00B95700"/>
    <w:rsid w:val="00B960A5"/>
    <w:rsid w:val="00B97C91"/>
    <w:rsid w:val="00BA1502"/>
    <w:rsid w:val="00BA174E"/>
    <w:rsid w:val="00BB080D"/>
    <w:rsid w:val="00BB0D30"/>
    <w:rsid w:val="00BB0DA4"/>
    <w:rsid w:val="00BB21FD"/>
    <w:rsid w:val="00BB332E"/>
    <w:rsid w:val="00BB3960"/>
    <w:rsid w:val="00BB3F22"/>
    <w:rsid w:val="00BB4051"/>
    <w:rsid w:val="00BB47ED"/>
    <w:rsid w:val="00BB6C48"/>
    <w:rsid w:val="00BB7B46"/>
    <w:rsid w:val="00BC44D2"/>
    <w:rsid w:val="00BC4A65"/>
    <w:rsid w:val="00BC4EB3"/>
    <w:rsid w:val="00BC50BD"/>
    <w:rsid w:val="00BC550D"/>
    <w:rsid w:val="00BC5DB3"/>
    <w:rsid w:val="00BC5E15"/>
    <w:rsid w:val="00BC780A"/>
    <w:rsid w:val="00BD1CDE"/>
    <w:rsid w:val="00BD1E1F"/>
    <w:rsid w:val="00BD7F79"/>
    <w:rsid w:val="00BE1BE7"/>
    <w:rsid w:val="00BE3086"/>
    <w:rsid w:val="00BE3C45"/>
    <w:rsid w:val="00BE50F9"/>
    <w:rsid w:val="00BE745F"/>
    <w:rsid w:val="00BF0F12"/>
    <w:rsid w:val="00BF1421"/>
    <w:rsid w:val="00BF24B3"/>
    <w:rsid w:val="00BF40A0"/>
    <w:rsid w:val="00BF6832"/>
    <w:rsid w:val="00C028E8"/>
    <w:rsid w:val="00C10C9B"/>
    <w:rsid w:val="00C114E6"/>
    <w:rsid w:val="00C13540"/>
    <w:rsid w:val="00C141E9"/>
    <w:rsid w:val="00C214C9"/>
    <w:rsid w:val="00C214D1"/>
    <w:rsid w:val="00C22644"/>
    <w:rsid w:val="00C2307A"/>
    <w:rsid w:val="00C23120"/>
    <w:rsid w:val="00C2376C"/>
    <w:rsid w:val="00C25E6D"/>
    <w:rsid w:val="00C2738D"/>
    <w:rsid w:val="00C30499"/>
    <w:rsid w:val="00C34B5F"/>
    <w:rsid w:val="00C378C3"/>
    <w:rsid w:val="00C37FF8"/>
    <w:rsid w:val="00C40643"/>
    <w:rsid w:val="00C42CE6"/>
    <w:rsid w:val="00C42D08"/>
    <w:rsid w:val="00C4363C"/>
    <w:rsid w:val="00C457CD"/>
    <w:rsid w:val="00C46451"/>
    <w:rsid w:val="00C47A91"/>
    <w:rsid w:val="00C47CBD"/>
    <w:rsid w:val="00C50CF1"/>
    <w:rsid w:val="00C5128B"/>
    <w:rsid w:val="00C5280F"/>
    <w:rsid w:val="00C534EE"/>
    <w:rsid w:val="00C613B3"/>
    <w:rsid w:val="00C619A0"/>
    <w:rsid w:val="00C64266"/>
    <w:rsid w:val="00C645A9"/>
    <w:rsid w:val="00C6623B"/>
    <w:rsid w:val="00C70A05"/>
    <w:rsid w:val="00C7261A"/>
    <w:rsid w:val="00C818CD"/>
    <w:rsid w:val="00C83310"/>
    <w:rsid w:val="00C833EC"/>
    <w:rsid w:val="00C84CB3"/>
    <w:rsid w:val="00C84D9B"/>
    <w:rsid w:val="00C867B4"/>
    <w:rsid w:val="00C86BB9"/>
    <w:rsid w:val="00C91732"/>
    <w:rsid w:val="00C92876"/>
    <w:rsid w:val="00C932F2"/>
    <w:rsid w:val="00C94711"/>
    <w:rsid w:val="00CA41F7"/>
    <w:rsid w:val="00CA4BF8"/>
    <w:rsid w:val="00CA5680"/>
    <w:rsid w:val="00CA5FFA"/>
    <w:rsid w:val="00CA7B26"/>
    <w:rsid w:val="00CB0002"/>
    <w:rsid w:val="00CB2EE8"/>
    <w:rsid w:val="00CB33EF"/>
    <w:rsid w:val="00CB44BD"/>
    <w:rsid w:val="00CB5C08"/>
    <w:rsid w:val="00CB6091"/>
    <w:rsid w:val="00CB7022"/>
    <w:rsid w:val="00CB7278"/>
    <w:rsid w:val="00CC1AF4"/>
    <w:rsid w:val="00CC5180"/>
    <w:rsid w:val="00CC68D3"/>
    <w:rsid w:val="00CC71C4"/>
    <w:rsid w:val="00CC7BFA"/>
    <w:rsid w:val="00CC7CEE"/>
    <w:rsid w:val="00CD04C2"/>
    <w:rsid w:val="00CD2518"/>
    <w:rsid w:val="00CD46C5"/>
    <w:rsid w:val="00CD6344"/>
    <w:rsid w:val="00CE02F0"/>
    <w:rsid w:val="00CE1C31"/>
    <w:rsid w:val="00CE5429"/>
    <w:rsid w:val="00CE65DA"/>
    <w:rsid w:val="00CE6B44"/>
    <w:rsid w:val="00CE6FA8"/>
    <w:rsid w:val="00CE77EC"/>
    <w:rsid w:val="00CF259F"/>
    <w:rsid w:val="00CF3215"/>
    <w:rsid w:val="00CF3F69"/>
    <w:rsid w:val="00CF715F"/>
    <w:rsid w:val="00CF76CD"/>
    <w:rsid w:val="00D02885"/>
    <w:rsid w:val="00D04928"/>
    <w:rsid w:val="00D04B94"/>
    <w:rsid w:val="00D12914"/>
    <w:rsid w:val="00D1375B"/>
    <w:rsid w:val="00D153E4"/>
    <w:rsid w:val="00D169CA"/>
    <w:rsid w:val="00D21275"/>
    <w:rsid w:val="00D22422"/>
    <w:rsid w:val="00D2394E"/>
    <w:rsid w:val="00D25D54"/>
    <w:rsid w:val="00D31B9F"/>
    <w:rsid w:val="00D31C65"/>
    <w:rsid w:val="00D3283A"/>
    <w:rsid w:val="00D330F8"/>
    <w:rsid w:val="00D34B80"/>
    <w:rsid w:val="00D35E0E"/>
    <w:rsid w:val="00D40F6E"/>
    <w:rsid w:val="00D4127C"/>
    <w:rsid w:val="00D41370"/>
    <w:rsid w:val="00D41D29"/>
    <w:rsid w:val="00D4215B"/>
    <w:rsid w:val="00D4521E"/>
    <w:rsid w:val="00D458BA"/>
    <w:rsid w:val="00D50990"/>
    <w:rsid w:val="00D565AF"/>
    <w:rsid w:val="00D57A70"/>
    <w:rsid w:val="00D60296"/>
    <w:rsid w:val="00D6154A"/>
    <w:rsid w:val="00D6176C"/>
    <w:rsid w:val="00D63B49"/>
    <w:rsid w:val="00D63FC2"/>
    <w:rsid w:val="00D64EF7"/>
    <w:rsid w:val="00D66D9D"/>
    <w:rsid w:val="00D67709"/>
    <w:rsid w:val="00D67AB3"/>
    <w:rsid w:val="00D7210E"/>
    <w:rsid w:val="00D73493"/>
    <w:rsid w:val="00D74B7C"/>
    <w:rsid w:val="00D75DE0"/>
    <w:rsid w:val="00D761F8"/>
    <w:rsid w:val="00D7645A"/>
    <w:rsid w:val="00D771FE"/>
    <w:rsid w:val="00D77E20"/>
    <w:rsid w:val="00D83872"/>
    <w:rsid w:val="00D83BE0"/>
    <w:rsid w:val="00D84241"/>
    <w:rsid w:val="00D902A7"/>
    <w:rsid w:val="00D91007"/>
    <w:rsid w:val="00D92356"/>
    <w:rsid w:val="00D94D1C"/>
    <w:rsid w:val="00D95433"/>
    <w:rsid w:val="00D9749D"/>
    <w:rsid w:val="00DA7693"/>
    <w:rsid w:val="00DA7F00"/>
    <w:rsid w:val="00DB10FD"/>
    <w:rsid w:val="00DB280C"/>
    <w:rsid w:val="00DB3362"/>
    <w:rsid w:val="00DB3725"/>
    <w:rsid w:val="00DB6D58"/>
    <w:rsid w:val="00DC1E09"/>
    <w:rsid w:val="00DC67B9"/>
    <w:rsid w:val="00DC6990"/>
    <w:rsid w:val="00DC7D8A"/>
    <w:rsid w:val="00DC7F02"/>
    <w:rsid w:val="00DD3A22"/>
    <w:rsid w:val="00DD5DD1"/>
    <w:rsid w:val="00DD68A6"/>
    <w:rsid w:val="00DD6F75"/>
    <w:rsid w:val="00DD7F66"/>
    <w:rsid w:val="00DE0049"/>
    <w:rsid w:val="00DE358F"/>
    <w:rsid w:val="00DE407B"/>
    <w:rsid w:val="00DE45CA"/>
    <w:rsid w:val="00DE761C"/>
    <w:rsid w:val="00DF02C0"/>
    <w:rsid w:val="00DF29DD"/>
    <w:rsid w:val="00DF3AF9"/>
    <w:rsid w:val="00DF5705"/>
    <w:rsid w:val="00DF5B09"/>
    <w:rsid w:val="00E0335A"/>
    <w:rsid w:val="00E05F5B"/>
    <w:rsid w:val="00E06D87"/>
    <w:rsid w:val="00E0783E"/>
    <w:rsid w:val="00E07C8A"/>
    <w:rsid w:val="00E10149"/>
    <w:rsid w:val="00E10FB8"/>
    <w:rsid w:val="00E1102C"/>
    <w:rsid w:val="00E17856"/>
    <w:rsid w:val="00E22DB4"/>
    <w:rsid w:val="00E23142"/>
    <w:rsid w:val="00E24AE2"/>
    <w:rsid w:val="00E25D6B"/>
    <w:rsid w:val="00E26461"/>
    <w:rsid w:val="00E2655F"/>
    <w:rsid w:val="00E26FE5"/>
    <w:rsid w:val="00E2706A"/>
    <w:rsid w:val="00E2727C"/>
    <w:rsid w:val="00E2795A"/>
    <w:rsid w:val="00E33240"/>
    <w:rsid w:val="00E33BA3"/>
    <w:rsid w:val="00E436DD"/>
    <w:rsid w:val="00E443B5"/>
    <w:rsid w:val="00E5107D"/>
    <w:rsid w:val="00E51B4C"/>
    <w:rsid w:val="00E521BA"/>
    <w:rsid w:val="00E55324"/>
    <w:rsid w:val="00E56652"/>
    <w:rsid w:val="00E6014A"/>
    <w:rsid w:val="00E60F72"/>
    <w:rsid w:val="00E61BE6"/>
    <w:rsid w:val="00E6339B"/>
    <w:rsid w:val="00E65145"/>
    <w:rsid w:val="00E6521B"/>
    <w:rsid w:val="00E657A4"/>
    <w:rsid w:val="00E6587C"/>
    <w:rsid w:val="00E6596A"/>
    <w:rsid w:val="00E65AA0"/>
    <w:rsid w:val="00E6680B"/>
    <w:rsid w:val="00E721E1"/>
    <w:rsid w:val="00E730B1"/>
    <w:rsid w:val="00E74557"/>
    <w:rsid w:val="00E74A4B"/>
    <w:rsid w:val="00E751B0"/>
    <w:rsid w:val="00E80077"/>
    <w:rsid w:val="00E84474"/>
    <w:rsid w:val="00E849D6"/>
    <w:rsid w:val="00E868AD"/>
    <w:rsid w:val="00E87F7A"/>
    <w:rsid w:val="00E90140"/>
    <w:rsid w:val="00E91E9E"/>
    <w:rsid w:val="00E96A51"/>
    <w:rsid w:val="00EA0648"/>
    <w:rsid w:val="00EA1A70"/>
    <w:rsid w:val="00EA27AA"/>
    <w:rsid w:val="00EA7DDB"/>
    <w:rsid w:val="00EB1BA7"/>
    <w:rsid w:val="00EB69CA"/>
    <w:rsid w:val="00EC1750"/>
    <w:rsid w:val="00EC1F78"/>
    <w:rsid w:val="00EC3CBC"/>
    <w:rsid w:val="00EC5D1B"/>
    <w:rsid w:val="00ED03C9"/>
    <w:rsid w:val="00ED0F3F"/>
    <w:rsid w:val="00ED1493"/>
    <w:rsid w:val="00ED1EEC"/>
    <w:rsid w:val="00EE1185"/>
    <w:rsid w:val="00EE32D4"/>
    <w:rsid w:val="00EE3A37"/>
    <w:rsid w:val="00EE4A60"/>
    <w:rsid w:val="00EE76FF"/>
    <w:rsid w:val="00EF760C"/>
    <w:rsid w:val="00EF79D6"/>
    <w:rsid w:val="00F003A0"/>
    <w:rsid w:val="00F0117D"/>
    <w:rsid w:val="00F05F8D"/>
    <w:rsid w:val="00F12070"/>
    <w:rsid w:val="00F13177"/>
    <w:rsid w:val="00F14918"/>
    <w:rsid w:val="00F151FC"/>
    <w:rsid w:val="00F16B34"/>
    <w:rsid w:val="00F222FD"/>
    <w:rsid w:val="00F22E55"/>
    <w:rsid w:val="00F233B4"/>
    <w:rsid w:val="00F2368D"/>
    <w:rsid w:val="00F2411E"/>
    <w:rsid w:val="00F26ABA"/>
    <w:rsid w:val="00F32326"/>
    <w:rsid w:val="00F332FF"/>
    <w:rsid w:val="00F34049"/>
    <w:rsid w:val="00F34C6D"/>
    <w:rsid w:val="00F34D13"/>
    <w:rsid w:val="00F37C91"/>
    <w:rsid w:val="00F37FC5"/>
    <w:rsid w:val="00F420C2"/>
    <w:rsid w:val="00F431CB"/>
    <w:rsid w:val="00F44077"/>
    <w:rsid w:val="00F4468A"/>
    <w:rsid w:val="00F44FB2"/>
    <w:rsid w:val="00F45664"/>
    <w:rsid w:val="00F506EB"/>
    <w:rsid w:val="00F51363"/>
    <w:rsid w:val="00F51D88"/>
    <w:rsid w:val="00F52399"/>
    <w:rsid w:val="00F52F3B"/>
    <w:rsid w:val="00F63B64"/>
    <w:rsid w:val="00F63FEE"/>
    <w:rsid w:val="00F649F2"/>
    <w:rsid w:val="00F67B56"/>
    <w:rsid w:val="00F67D84"/>
    <w:rsid w:val="00F710C2"/>
    <w:rsid w:val="00F719DE"/>
    <w:rsid w:val="00F72428"/>
    <w:rsid w:val="00F73E68"/>
    <w:rsid w:val="00F772B1"/>
    <w:rsid w:val="00F800E2"/>
    <w:rsid w:val="00F815F6"/>
    <w:rsid w:val="00F83B95"/>
    <w:rsid w:val="00F841B7"/>
    <w:rsid w:val="00F841F6"/>
    <w:rsid w:val="00F8453C"/>
    <w:rsid w:val="00F84FA4"/>
    <w:rsid w:val="00F86862"/>
    <w:rsid w:val="00F94B24"/>
    <w:rsid w:val="00F94F0B"/>
    <w:rsid w:val="00FA083C"/>
    <w:rsid w:val="00FA26DE"/>
    <w:rsid w:val="00FA5620"/>
    <w:rsid w:val="00FA73EB"/>
    <w:rsid w:val="00FB05BC"/>
    <w:rsid w:val="00FB090E"/>
    <w:rsid w:val="00FB153B"/>
    <w:rsid w:val="00FB3173"/>
    <w:rsid w:val="00FB32CD"/>
    <w:rsid w:val="00FB3AFE"/>
    <w:rsid w:val="00FB52CB"/>
    <w:rsid w:val="00FB7847"/>
    <w:rsid w:val="00FC0FF9"/>
    <w:rsid w:val="00FC2724"/>
    <w:rsid w:val="00FC2EEF"/>
    <w:rsid w:val="00FC419C"/>
    <w:rsid w:val="00FC556E"/>
    <w:rsid w:val="00FC69C5"/>
    <w:rsid w:val="00FD11F3"/>
    <w:rsid w:val="00FD1D14"/>
    <w:rsid w:val="00FD3932"/>
    <w:rsid w:val="00FD5809"/>
    <w:rsid w:val="00FD6D4C"/>
    <w:rsid w:val="00FE15AB"/>
    <w:rsid w:val="00FE2384"/>
    <w:rsid w:val="00FE40D6"/>
    <w:rsid w:val="00FE4D76"/>
    <w:rsid w:val="00FF0EBC"/>
    <w:rsid w:val="00FF0F46"/>
    <w:rsid w:val="00FF1A61"/>
    <w:rsid w:val="00FF1BC0"/>
    <w:rsid w:val="00FF4E7B"/>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1C30C"/>
  <w15:docId w15:val="{09CB80C7-F57D-4FE3-8A0A-39A4406F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156AF"/>
    <w:rPr>
      <w:sz w:val="24"/>
      <w:szCs w:val="24"/>
      <w:lang w:val="en-GB" w:eastAsia="ru-RU"/>
    </w:rPr>
  </w:style>
  <w:style w:type="paragraph" w:styleId="1">
    <w:name w:val="heading 1"/>
    <w:basedOn w:val="a"/>
    <w:next w:val="a"/>
    <w:link w:val="10"/>
    <w:uiPriority w:val="9"/>
    <w:qFormat/>
    <w:rsid w:val="0058609A"/>
    <w:pPr>
      <w:keepNext/>
      <w:spacing w:before="240" w:after="60"/>
      <w:outlineLvl w:val="0"/>
    </w:pPr>
    <w:rPr>
      <w:rFonts w:ascii="Cambria" w:eastAsia="Times New Roman" w:hAnsi="Cambria"/>
      <w:b/>
      <w:bCs/>
      <w:kern w:val="32"/>
      <w:sz w:val="32"/>
      <w:szCs w:val="32"/>
    </w:rPr>
  </w:style>
  <w:style w:type="paragraph" w:styleId="2">
    <w:name w:val="heading 2"/>
    <w:basedOn w:val="a"/>
    <w:next w:val="a"/>
    <w:qFormat/>
    <w:rsid w:val="00374352"/>
    <w:pPr>
      <w:keepNext/>
      <w:outlineLvl w:val="1"/>
    </w:pPr>
    <w:rPr>
      <w:rFonts w:eastAsia="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67B9"/>
    <w:rPr>
      <w:rFonts w:ascii="Tahoma" w:hAnsi="Tahoma" w:cs="Tahoma"/>
      <w:sz w:val="16"/>
      <w:szCs w:val="16"/>
    </w:rPr>
  </w:style>
  <w:style w:type="character" w:styleId="a4">
    <w:name w:val="Hyperlink"/>
    <w:rsid w:val="00AD1995"/>
    <w:rPr>
      <w:color w:val="0000FF"/>
      <w:u w:val="single"/>
    </w:rPr>
  </w:style>
  <w:style w:type="paragraph" w:styleId="a5">
    <w:name w:val="Body Text Indent"/>
    <w:basedOn w:val="a"/>
    <w:rsid w:val="003C02F5"/>
    <w:pPr>
      <w:ind w:firstLine="851"/>
      <w:jc w:val="both"/>
    </w:pPr>
    <w:rPr>
      <w:rFonts w:eastAsia="Times New Roman"/>
      <w:sz w:val="26"/>
      <w:szCs w:val="20"/>
      <w:lang w:val="uk-UA"/>
    </w:rPr>
  </w:style>
  <w:style w:type="character" w:customStyle="1" w:styleId="spelle">
    <w:name w:val="spelle"/>
    <w:basedOn w:val="a0"/>
    <w:rsid w:val="00CB5C08"/>
  </w:style>
  <w:style w:type="paragraph" w:styleId="a6">
    <w:name w:val="Body Text"/>
    <w:basedOn w:val="a"/>
    <w:rsid w:val="000164C2"/>
    <w:pPr>
      <w:spacing w:after="120"/>
    </w:pPr>
  </w:style>
  <w:style w:type="paragraph" w:styleId="HTML">
    <w:name w:val="HTML Preformatted"/>
    <w:basedOn w:val="a"/>
    <w:link w:val="HTML0"/>
    <w:uiPriority w:val="99"/>
    <w:rsid w:val="00016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8"/>
      <w:szCs w:val="28"/>
      <w:lang w:val="ru-RU"/>
    </w:rPr>
  </w:style>
  <w:style w:type="paragraph" w:customStyle="1" w:styleId="11">
    <w:name w:val="Обычный1"/>
    <w:rsid w:val="0098073B"/>
    <w:rPr>
      <w:rFonts w:eastAsia="Times New Roman"/>
      <w:snapToGrid w:val="0"/>
      <w:lang w:val="uk-UA" w:eastAsia="ru-RU"/>
    </w:rPr>
  </w:style>
  <w:style w:type="paragraph" w:customStyle="1" w:styleId="a7">
    <w:name w:val="Знак Знак Знак Знак Знак Знак"/>
    <w:basedOn w:val="a"/>
    <w:rsid w:val="00804E37"/>
    <w:rPr>
      <w:rFonts w:ascii="Verdana" w:eastAsia="Times New Roman" w:hAnsi="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w:basedOn w:val="a"/>
    <w:rsid w:val="009C12AE"/>
    <w:rPr>
      <w:rFonts w:ascii="Verdana" w:eastAsia="Times New Roman" w:hAnsi="Verdana"/>
      <w:sz w:val="20"/>
      <w:szCs w:val="20"/>
      <w:lang w:val="en-US" w:eastAsia="en-US"/>
    </w:rPr>
  </w:style>
  <w:style w:type="paragraph" w:customStyle="1" w:styleId="a8">
    <w:name w:val="Знак Знак Знак Знак Знак"/>
    <w:basedOn w:val="a"/>
    <w:rsid w:val="00652400"/>
    <w:rPr>
      <w:rFonts w:ascii="Verdana" w:eastAsia="Times New Roman" w:hAnsi="Verdana"/>
      <w:sz w:val="20"/>
      <w:szCs w:val="20"/>
      <w:lang w:val="en-US" w:eastAsia="en-US"/>
    </w:rPr>
  </w:style>
  <w:style w:type="paragraph" w:styleId="a9">
    <w:name w:val="header"/>
    <w:basedOn w:val="a"/>
    <w:link w:val="aa"/>
    <w:uiPriority w:val="99"/>
    <w:rsid w:val="00450DFA"/>
    <w:pPr>
      <w:tabs>
        <w:tab w:val="center" w:pos="4677"/>
        <w:tab w:val="right" w:pos="9355"/>
      </w:tabs>
    </w:pPr>
  </w:style>
  <w:style w:type="character" w:styleId="ab">
    <w:name w:val="page number"/>
    <w:basedOn w:val="a0"/>
    <w:rsid w:val="00450DFA"/>
  </w:style>
  <w:style w:type="paragraph" w:customStyle="1" w:styleId="CharChar11">
    <w:name w:val="Char Знак Знак Char Знак Знак Знак Знак Знак Знак Знак Знак Знак Знак Знак Знак Знак Знак Знак Знак Знак Знак Знак Знак Знак1 Знак Знак Знак1 Знак Знак Знак"/>
    <w:basedOn w:val="a"/>
    <w:rsid w:val="00276960"/>
    <w:rPr>
      <w:rFonts w:ascii="Verdana" w:eastAsia="Times New Roman" w:hAnsi="Verdana"/>
      <w:sz w:val="20"/>
      <w:szCs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 Знак Знак Знак Знак Знак1 Знак Знак Знак1 Знак Знак Знак Знак"/>
    <w:basedOn w:val="a"/>
    <w:rsid w:val="00B13CC0"/>
    <w:rPr>
      <w:rFonts w:ascii="Verdana" w:eastAsia="Times New Roman" w:hAnsi="Verdana"/>
      <w:sz w:val="20"/>
      <w:szCs w:val="20"/>
      <w:lang w:val="en-US" w:eastAsia="en-US"/>
    </w:rPr>
  </w:style>
  <w:style w:type="paragraph" w:styleId="ac">
    <w:name w:val="footer"/>
    <w:basedOn w:val="a"/>
    <w:rsid w:val="00307A4B"/>
    <w:pPr>
      <w:tabs>
        <w:tab w:val="center" w:pos="4677"/>
        <w:tab w:val="right" w:pos="9355"/>
      </w:tabs>
    </w:pPr>
  </w:style>
  <w:style w:type="paragraph" w:customStyle="1" w:styleId="ad">
    <w:name w:val="Знак Знак"/>
    <w:basedOn w:val="a"/>
    <w:rsid w:val="00601071"/>
    <w:rPr>
      <w:rFonts w:ascii="Verdana" w:eastAsia="Times New Roman" w:hAnsi="Verdana"/>
      <w:sz w:val="20"/>
      <w:szCs w:val="20"/>
      <w:lang w:val="en-US" w:eastAsia="en-US"/>
    </w:rPr>
  </w:style>
  <w:style w:type="paragraph" w:customStyle="1" w:styleId="rvps12">
    <w:name w:val="rvps12"/>
    <w:basedOn w:val="a"/>
    <w:rsid w:val="00A0012B"/>
    <w:pPr>
      <w:spacing w:before="100" w:beforeAutospacing="1" w:after="100" w:afterAutospacing="1"/>
    </w:pPr>
    <w:rPr>
      <w:rFonts w:eastAsia="Times New Roman"/>
      <w:lang w:val="ru-RU"/>
    </w:rPr>
  </w:style>
  <w:style w:type="paragraph" w:customStyle="1" w:styleId="rvps14">
    <w:name w:val="rvps14"/>
    <w:basedOn w:val="a"/>
    <w:rsid w:val="00A0012B"/>
    <w:pPr>
      <w:spacing w:before="100" w:beforeAutospacing="1" w:after="100" w:afterAutospacing="1"/>
    </w:pPr>
    <w:rPr>
      <w:rFonts w:eastAsia="Times New Roman"/>
      <w:lang w:val="ru-RU"/>
    </w:rPr>
  </w:style>
  <w:style w:type="character" w:customStyle="1" w:styleId="FontStyle13">
    <w:name w:val="Font Style13"/>
    <w:rsid w:val="00BB7B46"/>
    <w:rPr>
      <w:rFonts w:ascii="Times New Roman" w:hAnsi="Times New Roman" w:cs="Times New Roman"/>
      <w:sz w:val="26"/>
      <w:szCs w:val="26"/>
    </w:rPr>
  </w:style>
  <w:style w:type="paragraph" w:customStyle="1" w:styleId="12">
    <w:name w:val="Знак Знак1"/>
    <w:basedOn w:val="a"/>
    <w:rsid w:val="00BB7B46"/>
    <w:rPr>
      <w:rFonts w:ascii="Verdana" w:eastAsia="Times New Roman" w:hAnsi="Verdana"/>
      <w:sz w:val="20"/>
      <w:szCs w:val="20"/>
      <w:lang w:val="en-US" w:eastAsia="en-US"/>
    </w:rPr>
  </w:style>
  <w:style w:type="paragraph" w:customStyle="1" w:styleId="rvps2">
    <w:name w:val="rvps2"/>
    <w:basedOn w:val="a"/>
    <w:rsid w:val="005030D8"/>
    <w:pPr>
      <w:spacing w:before="100" w:beforeAutospacing="1" w:after="100" w:afterAutospacing="1"/>
    </w:pPr>
    <w:rPr>
      <w:rFonts w:eastAsia="Times New Roman"/>
      <w:lang w:val="ru-RU"/>
    </w:rPr>
  </w:style>
  <w:style w:type="character" w:customStyle="1" w:styleId="aa">
    <w:name w:val="Верхний колонтитул Знак"/>
    <w:link w:val="a9"/>
    <w:uiPriority w:val="99"/>
    <w:rsid w:val="00FF1BC0"/>
    <w:rPr>
      <w:sz w:val="24"/>
      <w:szCs w:val="24"/>
      <w:lang w:val="en-GB"/>
    </w:rPr>
  </w:style>
  <w:style w:type="paragraph" w:styleId="ae">
    <w:name w:val="Normal (Web)"/>
    <w:basedOn w:val="a"/>
    <w:uiPriority w:val="99"/>
    <w:unhideWhenUsed/>
    <w:rsid w:val="00D6176C"/>
  </w:style>
  <w:style w:type="table" w:customStyle="1" w:styleId="TableGrid">
    <w:name w:val="TableGrid"/>
    <w:rsid w:val="00BC44D2"/>
    <w:rPr>
      <w:rFonts w:ascii="Calibri" w:eastAsia="Times New Roman" w:hAnsi="Calibri"/>
      <w:sz w:val="22"/>
      <w:szCs w:val="22"/>
      <w:lang w:val="ru-RU" w:eastAsia="ru-RU"/>
    </w:rPr>
    <w:tblPr>
      <w:tblCellMar>
        <w:top w:w="0" w:type="dxa"/>
        <w:left w:w="0" w:type="dxa"/>
        <w:bottom w:w="0" w:type="dxa"/>
        <w:right w:w="0" w:type="dxa"/>
      </w:tblCellMar>
    </w:tblPr>
  </w:style>
  <w:style w:type="character" w:customStyle="1" w:styleId="apple-converted-space">
    <w:name w:val="apple-converted-space"/>
    <w:uiPriority w:val="99"/>
    <w:rsid w:val="00F420C2"/>
    <w:rPr>
      <w:rFonts w:cs="Times New Roman"/>
    </w:rPr>
  </w:style>
  <w:style w:type="paragraph" w:customStyle="1" w:styleId="rvps7">
    <w:name w:val="rvps7"/>
    <w:basedOn w:val="a"/>
    <w:uiPriority w:val="99"/>
    <w:rsid w:val="00A53C71"/>
    <w:pPr>
      <w:spacing w:before="100" w:beforeAutospacing="1" w:after="100" w:afterAutospacing="1"/>
    </w:pPr>
    <w:rPr>
      <w:rFonts w:eastAsia="Times New Roman"/>
      <w:lang w:val="ru-RU"/>
    </w:rPr>
  </w:style>
  <w:style w:type="character" w:customStyle="1" w:styleId="rvts15">
    <w:name w:val="rvts15"/>
    <w:uiPriority w:val="99"/>
    <w:rsid w:val="00A53C71"/>
    <w:rPr>
      <w:rFonts w:cs="Times New Roman"/>
    </w:rPr>
  </w:style>
  <w:style w:type="paragraph" w:customStyle="1" w:styleId="CharChar0">
    <w:name w:val="Char Знак Знак Char Знак Знак Знак Знак Знак Знак Знак Знак Знак Знак Знак Знак Знак Знак Знак Знак Знак Знак"/>
    <w:basedOn w:val="a"/>
    <w:uiPriority w:val="99"/>
    <w:rsid w:val="00D458BA"/>
    <w:rPr>
      <w:rFonts w:ascii="Verdana" w:hAnsi="Verdana" w:cs="Verdana"/>
      <w:sz w:val="20"/>
      <w:szCs w:val="20"/>
      <w:lang w:val="en-US" w:eastAsia="en-US"/>
    </w:rPr>
  </w:style>
  <w:style w:type="character" w:customStyle="1" w:styleId="rvts11">
    <w:name w:val="rvts11"/>
    <w:basedOn w:val="a0"/>
    <w:rsid w:val="000121F6"/>
  </w:style>
  <w:style w:type="character" w:customStyle="1" w:styleId="rvts23">
    <w:name w:val="rvts23"/>
    <w:basedOn w:val="a0"/>
    <w:rsid w:val="004621F4"/>
  </w:style>
  <w:style w:type="character" w:customStyle="1" w:styleId="rvts0">
    <w:name w:val="rvts0"/>
    <w:basedOn w:val="a0"/>
    <w:rsid w:val="003C1923"/>
  </w:style>
  <w:style w:type="character" w:customStyle="1" w:styleId="rvts9">
    <w:name w:val="rvts9"/>
    <w:basedOn w:val="a0"/>
    <w:rsid w:val="009B2393"/>
  </w:style>
  <w:style w:type="character" w:customStyle="1" w:styleId="HTML0">
    <w:name w:val="Стандартный HTML Знак"/>
    <w:basedOn w:val="a0"/>
    <w:link w:val="HTML"/>
    <w:uiPriority w:val="99"/>
    <w:rsid w:val="009B2393"/>
    <w:rPr>
      <w:rFonts w:ascii="Courier New" w:eastAsia="Times New Roman" w:hAnsi="Courier New" w:cs="Courier New"/>
      <w:color w:val="000000"/>
      <w:sz w:val="28"/>
      <w:szCs w:val="28"/>
      <w:lang w:val="ru-RU" w:eastAsia="ru-RU"/>
    </w:rPr>
  </w:style>
  <w:style w:type="character" w:customStyle="1" w:styleId="10">
    <w:name w:val="Заголовок 1 Знак"/>
    <w:basedOn w:val="a0"/>
    <w:link w:val="1"/>
    <w:uiPriority w:val="9"/>
    <w:rsid w:val="0058609A"/>
    <w:rPr>
      <w:rFonts w:ascii="Cambria" w:eastAsia="Times New Roman" w:hAnsi="Cambria" w:cs="Times New Roman"/>
      <w:b/>
      <w:bCs/>
      <w:kern w:val="32"/>
      <w:sz w:val="32"/>
      <w:szCs w:val="32"/>
      <w:lang w:val="en-GB" w:eastAsia="ru-RU"/>
    </w:rPr>
  </w:style>
  <w:style w:type="table" w:styleId="af">
    <w:name w:val="Table Grid"/>
    <w:basedOn w:val="a1"/>
    <w:uiPriority w:val="39"/>
    <w:rsid w:val="0011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nhideWhenUsed/>
    <w:rsid w:val="00D91007"/>
    <w:pPr>
      <w:spacing w:after="120" w:line="480" w:lineRule="auto"/>
    </w:pPr>
  </w:style>
  <w:style w:type="character" w:customStyle="1" w:styleId="21">
    <w:name w:val="Основной текст 2 Знак"/>
    <w:basedOn w:val="a0"/>
    <w:link w:val="20"/>
    <w:uiPriority w:val="99"/>
    <w:semiHidden/>
    <w:rsid w:val="00D91007"/>
    <w:rPr>
      <w:sz w:val="24"/>
      <w:szCs w:val="24"/>
      <w:lang w:val="en-GB" w:eastAsia="ru-RU"/>
    </w:rPr>
  </w:style>
  <w:style w:type="character" w:customStyle="1" w:styleId="rvts82">
    <w:name w:val="rvts82"/>
    <w:rsid w:val="005C1DFE"/>
  </w:style>
  <w:style w:type="paragraph" w:styleId="af0">
    <w:name w:val="List Paragraph"/>
    <w:basedOn w:val="a"/>
    <w:uiPriority w:val="34"/>
    <w:qFormat/>
    <w:rsid w:val="00BE3086"/>
    <w:pPr>
      <w:ind w:left="720"/>
      <w:contextualSpacing/>
    </w:pPr>
  </w:style>
  <w:style w:type="paragraph" w:customStyle="1" w:styleId="CharChar1">
    <w:name w:val="Char Знак Знак Char Знак Знак Знак Знак Знак Знак Знак Знак Знак Знак Знак Знак Знак"/>
    <w:basedOn w:val="a"/>
    <w:rsid w:val="00C534EE"/>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22539">
      <w:bodyDiv w:val="1"/>
      <w:marLeft w:val="0"/>
      <w:marRight w:val="0"/>
      <w:marTop w:val="0"/>
      <w:marBottom w:val="0"/>
      <w:divBdr>
        <w:top w:val="none" w:sz="0" w:space="0" w:color="auto"/>
        <w:left w:val="none" w:sz="0" w:space="0" w:color="auto"/>
        <w:bottom w:val="none" w:sz="0" w:space="0" w:color="auto"/>
        <w:right w:val="none" w:sz="0" w:space="0" w:color="auto"/>
      </w:divBdr>
      <w:divsChild>
        <w:div w:id="1138649205">
          <w:marLeft w:val="0"/>
          <w:marRight w:val="0"/>
          <w:marTop w:val="0"/>
          <w:marBottom w:val="0"/>
          <w:divBdr>
            <w:top w:val="none" w:sz="0" w:space="0" w:color="auto"/>
            <w:left w:val="none" w:sz="0" w:space="0" w:color="auto"/>
            <w:bottom w:val="none" w:sz="0" w:space="0" w:color="auto"/>
            <w:right w:val="none" w:sz="0" w:space="0" w:color="auto"/>
          </w:divBdr>
        </w:div>
      </w:divsChild>
    </w:div>
    <w:div w:id="96410002">
      <w:bodyDiv w:val="1"/>
      <w:marLeft w:val="0"/>
      <w:marRight w:val="0"/>
      <w:marTop w:val="0"/>
      <w:marBottom w:val="0"/>
      <w:divBdr>
        <w:top w:val="none" w:sz="0" w:space="0" w:color="auto"/>
        <w:left w:val="none" w:sz="0" w:space="0" w:color="auto"/>
        <w:bottom w:val="none" w:sz="0" w:space="0" w:color="auto"/>
        <w:right w:val="none" w:sz="0" w:space="0" w:color="auto"/>
      </w:divBdr>
    </w:div>
    <w:div w:id="106195262">
      <w:bodyDiv w:val="1"/>
      <w:marLeft w:val="0"/>
      <w:marRight w:val="0"/>
      <w:marTop w:val="0"/>
      <w:marBottom w:val="0"/>
      <w:divBdr>
        <w:top w:val="none" w:sz="0" w:space="0" w:color="auto"/>
        <w:left w:val="none" w:sz="0" w:space="0" w:color="auto"/>
        <w:bottom w:val="none" w:sz="0" w:space="0" w:color="auto"/>
        <w:right w:val="none" w:sz="0" w:space="0" w:color="auto"/>
      </w:divBdr>
      <w:divsChild>
        <w:div w:id="99766838">
          <w:marLeft w:val="0"/>
          <w:marRight w:val="0"/>
          <w:marTop w:val="0"/>
          <w:marBottom w:val="0"/>
          <w:divBdr>
            <w:top w:val="none" w:sz="0" w:space="0" w:color="auto"/>
            <w:left w:val="none" w:sz="0" w:space="0" w:color="auto"/>
            <w:bottom w:val="none" w:sz="0" w:space="0" w:color="auto"/>
            <w:right w:val="none" w:sz="0" w:space="0" w:color="auto"/>
          </w:divBdr>
        </w:div>
      </w:divsChild>
    </w:div>
    <w:div w:id="129514863">
      <w:bodyDiv w:val="1"/>
      <w:marLeft w:val="0"/>
      <w:marRight w:val="0"/>
      <w:marTop w:val="0"/>
      <w:marBottom w:val="0"/>
      <w:divBdr>
        <w:top w:val="none" w:sz="0" w:space="0" w:color="auto"/>
        <w:left w:val="none" w:sz="0" w:space="0" w:color="auto"/>
        <w:bottom w:val="none" w:sz="0" w:space="0" w:color="auto"/>
        <w:right w:val="none" w:sz="0" w:space="0" w:color="auto"/>
      </w:divBdr>
    </w:div>
    <w:div w:id="147746537">
      <w:bodyDiv w:val="1"/>
      <w:marLeft w:val="0"/>
      <w:marRight w:val="0"/>
      <w:marTop w:val="0"/>
      <w:marBottom w:val="0"/>
      <w:divBdr>
        <w:top w:val="none" w:sz="0" w:space="0" w:color="auto"/>
        <w:left w:val="none" w:sz="0" w:space="0" w:color="auto"/>
        <w:bottom w:val="none" w:sz="0" w:space="0" w:color="auto"/>
        <w:right w:val="none" w:sz="0" w:space="0" w:color="auto"/>
      </w:divBdr>
      <w:divsChild>
        <w:div w:id="1140614481">
          <w:marLeft w:val="0"/>
          <w:marRight w:val="0"/>
          <w:marTop w:val="150"/>
          <w:marBottom w:val="150"/>
          <w:divBdr>
            <w:top w:val="none" w:sz="0" w:space="0" w:color="auto"/>
            <w:left w:val="none" w:sz="0" w:space="0" w:color="auto"/>
            <w:bottom w:val="none" w:sz="0" w:space="0" w:color="auto"/>
            <w:right w:val="none" w:sz="0" w:space="0" w:color="auto"/>
          </w:divBdr>
        </w:div>
      </w:divsChild>
    </w:div>
    <w:div w:id="162402236">
      <w:bodyDiv w:val="1"/>
      <w:marLeft w:val="0"/>
      <w:marRight w:val="0"/>
      <w:marTop w:val="0"/>
      <w:marBottom w:val="0"/>
      <w:divBdr>
        <w:top w:val="none" w:sz="0" w:space="0" w:color="auto"/>
        <w:left w:val="none" w:sz="0" w:space="0" w:color="auto"/>
        <w:bottom w:val="none" w:sz="0" w:space="0" w:color="auto"/>
        <w:right w:val="none" w:sz="0" w:space="0" w:color="auto"/>
      </w:divBdr>
      <w:divsChild>
        <w:div w:id="435515780">
          <w:marLeft w:val="0"/>
          <w:marRight w:val="0"/>
          <w:marTop w:val="150"/>
          <w:marBottom w:val="150"/>
          <w:divBdr>
            <w:top w:val="none" w:sz="0" w:space="0" w:color="auto"/>
            <w:left w:val="none" w:sz="0" w:space="0" w:color="auto"/>
            <w:bottom w:val="none" w:sz="0" w:space="0" w:color="auto"/>
            <w:right w:val="none" w:sz="0" w:space="0" w:color="auto"/>
          </w:divBdr>
        </w:div>
        <w:div w:id="1579244275">
          <w:marLeft w:val="0"/>
          <w:marRight w:val="0"/>
          <w:marTop w:val="150"/>
          <w:marBottom w:val="150"/>
          <w:divBdr>
            <w:top w:val="none" w:sz="0" w:space="0" w:color="auto"/>
            <w:left w:val="none" w:sz="0" w:space="0" w:color="auto"/>
            <w:bottom w:val="none" w:sz="0" w:space="0" w:color="auto"/>
            <w:right w:val="none" w:sz="0" w:space="0" w:color="auto"/>
          </w:divBdr>
        </w:div>
      </w:divsChild>
    </w:div>
    <w:div w:id="212884174">
      <w:bodyDiv w:val="1"/>
      <w:marLeft w:val="0"/>
      <w:marRight w:val="0"/>
      <w:marTop w:val="0"/>
      <w:marBottom w:val="0"/>
      <w:divBdr>
        <w:top w:val="none" w:sz="0" w:space="0" w:color="auto"/>
        <w:left w:val="none" w:sz="0" w:space="0" w:color="auto"/>
        <w:bottom w:val="none" w:sz="0" w:space="0" w:color="auto"/>
        <w:right w:val="none" w:sz="0" w:space="0" w:color="auto"/>
      </w:divBdr>
      <w:divsChild>
        <w:div w:id="555043525">
          <w:marLeft w:val="0"/>
          <w:marRight w:val="0"/>
          <w:marTop w:val="0"/>
          <w:marBottom w:val="0"/>
          <w:divBdr>
            <w:top w:val="none" w:sz="0" w:space="0" w:color="auto"/>
            <w:left w:val="none" w:sz="0" w:space="0" w:color="auto"/>
            <w:bottom w:val="none" w:sz="0" w:space="0" w:color="auto"/>
            <w:right w:val="none" w:sz="0" w:space="0" w:color="auto"/>
          </w:divBdr>
        </w:div>
      </w:divsChild>
    </w:div>
    <w:div w:id="245379767">
      <w:bodyDiv w:val="1"/>
      <w:marLeft w:val="0"/>
      <w:marRight w:val="0"/>
      <w:marTop w:val="0"/>
      <w:marBottom w:val="0"/>
      <w:divBdr>
        <w:top w:val="none" w:sz="0" w:space="0" w:color="auto"/>
        <w:left w:val="none" w:sz="0" w:space="0" w:color="auto"/>
        <w:bottom w:val="none" w:sz="0" w:space="0" w:color="auto"/>
        <w:right w:val="none" w:sz="0" w:space="0" w:color="auto"/>
      </w:divBdr>
    </w:div>
    <w:div w:id="302739380">
      <w:bodyDiv w:val="1"/>
      <w:marLeft w:val="0"/>
      <w:marRight w:val="0"/>
      <w:marTop w:val="0"/>
      <w:marBottom w:val="0"/>
      <w:divBdr>
        <w:top w:val="none" w:sz="0" w:space="0" w:color="auto"/>
        <w:left w:val="none" w:sz="0" w:space="0" w:color="auto"/>
        <w:bottom w:val="none" w:sz="0" w:space="0" w:color="auto"/>
        <w:right w:val="none" w:sz="0" w:space="0" w:color="auto"/>
      </w:divBdr>
    </w:div>
    <w:div w:id="433213227">
      <w:bodyDiv w:val="1"/>
      <w:marLeft w:val="0"/>
      <w:marRight w:val="0"/>
      <w:marTop w:val="0"/>
      <w:marBottom w:val="0"/>
      <w:divBdr>
        <w:top w:val="none" w:sz="0" w:space="0" w:color="auto"/>
        <w:left w:val="none" w:sz="0" w:space="0" w:color="auto"/>
        <w:bottom w:val="none" w:sz="0" w:space="0" w:color="auto"/>
        <w:right w:val="none" w:sz="0" w:space="0" w:color="auto"/>
      </w:divBdr>
    </w:div>
    <w:div w:id="454565403">
      <w:bodyDiv w:val="1"/>
      <w:marLeft w:val="0"/>
      <w:marRight w:val="0"/>
      <w:marTop w:val="0"/>
      <w:marBottom w:val="0"/>
      <w:divBdr>
        <w:top w:val="none" w:sz="0" w:space="0" w:color="auto"/>
        <w:left w:val="none" w:sz="0" w:space="0" w:color="auto"/>
        <w:bottom w:val="none" w:sz="0" w:space="0" w:color="auto"/>
        <w:right w:val="none" w:sz="0" w:space="0" w:color="auto"/>
      </w:divBdr>
    </w:div>
    <w:div w:id="500001097">
      <w:bodyDiv w:val="1"/>
      <w:marLeft w:val="0"/>
      <w:marRight w:val="0"/>
      <w:marTop w:val="0"/>
      <w:marBottom w:val="0"/>
      <w:divBdr>
        <w:top w:val="none" w:sz="0" w:space="0" w:color="auto"/>
        <w:left w:val="none" w:sz="0" w:space="0" w:color="auto"/>
        <w:bottom w:val="none" w:sz="0" w:space="0" w:color="auto"/>
        <w:right w:val="none" w:sz="0" w:space="0" w:color="auto"/>
      </w:divBdr>
      <w:divsChild>
        <w:div w:id="2118478302">
          <w:marLeft w:val="0"/>
          <w:marRight w:val="0"/>
          <w:marTop w:val="0"/>
          <w:marBottom w:val="0"/>
          <w:divBdr>
            <w:top w:val="none" w:sz="0" w:space="0" w:color="auto"/>
            <w:left w:val="none" w:sz="0" w:space="0" w:color="auto"/>
            <w:bottom w:val="none" w:sz="0" w:space="0" w:color="auto"/>
            <w:right w:val="none" w:sz="0" w:space="0" w:color="auto"/>
          </w:divBdr>
        </w:div>
      </w:divsChild>
    </w:div>
    <w:div w:id="538713002">
      <w:bodyDiv w:val="1"/>
      <w:marLeft w:val="0"/>
      <w:marRight w:val="0"/>
      <w:marTop w:val="0"/>
      <w:marBottom w:val="0"/>
      <w:divBdr>
        <w:top w:val="none" w:sz="0" w:space="0" w:color="auto"/>
        <w:left w:val="none" w:sz="0" w:space="0" w:color="auto"/>
        <w:bottom w:val="none" w:sz="0" w:space="0" w:color="auto"/>
        <w:right w:val="none" w:sz="0" w:space="0" w:color="auto"/>
      </w:divBdr>
    </w:div>
    <w:div w:id="567762433">
      <w:bodyDiv w:val="1"/>
      <w:marLeft w:val="0"/>
      <w:marRight w:val="0"/>
      <w:marTop w:val="0"/>
      <w:marBottom w:val="0"/>
      <w:divBdr>
        <w:top w:val="none" w:sz="0" w:space="0" w:color="auto"/>
        <w:left w:val="none" w:sz="0" w:space="0" w:color="auto"/>
        <w:bottom w:val="none" w:sz="0" w:space="0" w:color="auto"/>
        <w:right w:val="none" w:sz="0" w:space="0" w:color="auto"/>
      </w:divBdr>
      <w:divsChild>
        <w:div w:id="180166050">
          <w:marLeft w:val="0"/>
          <w:marRight w:val="0"/>
          <w:marTop w:val="150"/>
          <w:marBottom w:val="150"/>
          <w:divBdr>
            <w:top w:val="none" w:sz="0" w:space="0" w:color="auto"/>
            <w:left w:val="none" w:sz="0" w:space="0" w:color="auto"/>
            <w:bottom w:val="none" w:sz="0" w:space="0" w:color="auto"/>
            <w:right w:val="none" w:sz="0" w:space="0" w:color="auto"/>
          </w:divBdr>
        </w:div>
      </w:divsChild>
    </w:div>
    <w:div w:id="679819256">
      <w:bodyDiv w:val="1"/>
      <w:marLeft w:val="0"/>
      <w:marRight w:val="0"/>
      <w:marTop w:val="0"/>
      <w:marBottom w:val="0"/>
      <w:divBdr>
        <w:top w:val="none" w:sz="0" w:space="0" w:color="auto"/>
        <w:left w:val="none" w:sz="0" w:space="0" w:color="auto"/>
        <w:bottom w:val="none" w:sz="0" w:space="0" w:color="auto"/>
        <w:right w:val="none" w:sz="0" w:space="0" w:color="auto"/>
      </w:divBdr>
      <w:divsChild>
        <w:div w:id="928192751">
          <w:marLeft w:val="0"/>
          <w:marRight w:val="0"/>
          <w:marTop w:val="150"/>
          <w:marBottom w:val="150"/>
          <w:divBdr>
            <w:top w:val="none" w:sz="0" w:space="0" w:color="auto"/>
            <w:left w:val="none" w:sz="0" w:space="0" w:color="auto"/>
            <w:bottom w:val="none" w:sz="0" w:space="0" w:color="auto"/>
            <w:right w:val="none" w:sz="0" w:space="0" w:color="auto"/>
          </w:divBdr>
        </w:div>
      </w:divsChild>
    </w:div>
    <w:div w:id="772549551">
      <w:bodyDiv w:val="1"/>
      <w:marLeft w:val="0"/>
      <w:marRight w:val="0"/>
      <w:marTop w:val="0"/>
      <w:marBottom w:val="0"/>
      <w:divBdr>
        <w:top w:val="none" w:sz="0" w:space="0" w:color="auto"/>
        <w:left w:val="none" w:sz="0" w:space="0" w:color="auto"/>
        <w:bottom w:val="none" w:sz="0" w:space="0" w:color="auto"/>
        <w:right w:val="none" w:sz="0" w:space="0" w:color="auto"/>
      </w:divBdr>
    </w:div>
    <w:div w:id="858078917">
      <w:bodyDiv w:val="1"/>
      <w:marLeft w:val="0"/>
      <w:marRight w:val="0"/>
      <w:marTop w:val="0"/>
      <w:marBottom w:val="0"/>
      <w:divBdr>
        <w:top w:val="none" w:sz="0" w:space="0" w:color="auto"/>
        <w:left w:val="none" w:sz="0" w:space="0" w:color="auto"/>
        <w:bottom w:val="none" w:sz="0" w:space="0" w:color="auto"/>
        <w:right w:val="none" w:sz="0" w:space="0" w:color="auto"/>
      </w:divBdr>
    </w:div>
    <w:div w:id="911426698">
      <w:bodyDiv w:val="1"/>
      <w:marLeft w:val="0"/>
      <w:marRight w:val="0"/>
      <w:marTop w:val="0"/>
      <w:marBottom w:val="0"/>
      <w:divBdr>
        <w:top w:val="none" w:sz="0" w:space="0" w:color="auto"/>
        <w:left w:val="none" w:sz="0" w:space="0" w:color="auto"/>
        <w:bottom w:val="none" w:sz="0" w:space="0" w:color="auto"/>
        <w:right w:val="none" w:sz="0" w:space="0" w:color="auto"/>
      </w:divBdr>
    </w:div>
    <w:div w:id="959411535">
      <w:bodyDiv w:val="1"/>
      <w:marLeft w:val="0"/>
      <w:marRight w:val="0"/>
      <w:marTop w:val="0"/>
      <w:marBottom w:val="0"/>
      <w:divBdr>
        <w:top w:val="none" w:sz="0" w:space="0" w:color="auto"/>
        <w:left w:val="none" w:sz="0" w:space="0" w:color="auto"/>
        <w:bottom w:val="none" w:sz="0" w:space="0" w:color="auto"/>
        <w:right w:val="none" w:sz="0" w:space="0" w:color="auto"/>
      </w:divBdr>
    </w:div>
    <w:div w:id="1068919958">
      <w:bodyDiv w:val="1"/>
      <w:marLeft w:val="0"/>
      <w:marRight w:val="0"/>
      <w:marTop w:val="0"/>
      <w:marBottom w:val="0"/>
      <w:divBdr>
        <w:top w:val="none" w:sz="0" w:space="0" w:color="auto"/>
        <w:left w:val="none" w:sz="0" w:space="0" w:color="auto"/>
        <w:bottom w:val="none" w:sz="0" w:space="0" w:color="auto"/>
        <w:right w:val="none" w:sz="0" w:space="0" w:color="auto"/>
      </w:divBdr>
    </w:div>
    <w:div w:id="1280259499">
      <w:bodyDiv w:val="1"/>
      <w:marLeft w:val="0"/>
      <w:marRight w:val="0"/>
      <w:marTop w:val="0"/>
      <w:marBottom w:val="0"/>
      <w:divBdr>
        <w:top w:val="none" w:sz="0" w:space="0" w:color="auto"/>
        <w:left w:val="none" w:sz="0" w:space="0" w:color="auto"/>
        <w:bottom w:val="none" w:sz="0" w:space="0" w:color="auto"/>
        <w:right w:val="none" w:sz="0" w:space="0" w:color="auto"/>
      </w:divBdr>
    </w:div>
    <w:div w:id="1300380184">
      <w:bodyDiv w:val="1"/>
      <w:marLeft w:val="0"/>
      <w:marRight w:val="0"/>
      <w:marTop w:val="0"/>
      <w:marBottom w:val="0"/>
      <w:divBdr>
        <w:top w:val="none" w:sz="0" w:space="0" w:color="auto"/>
        <w:left w:val="none" w:sz="0" w:space="0" w:color="auto"/>
        <w:bottom w:val="none" w:sz="0" w:space="0" w:color="auto"/>
        <w:right w:val="none" w:sz="0" w:space="0" w:color="auto"/>
      </w:divBdr>
    </w:div>
    <w:div w:id="1494374208">
      <w:bodyDiv w:val="1"/>
      <w:marLeft w:val="0"/>
      <w:marRight w:val="0"/>
      <w:marTop w:val="0"/>
      <w:marBottom w:val="0"/>
      <w:divBdr>
        <w:top w:val="none" w:sz="0" w:space="0" w:color="auto"/>
        <w:left w:val="none" w:sz="0" w:space="0" w:color="auto"/>
        <w:bottom w:val="none" w:sz="0" w:space="0" w:color="auto"/>
        <w:right w:val="none" w:sz="0" w:space="0" w:color="auto"/>
      </w:divBdr>
      <w:divsChild>
        <w:div w:id="1467698604">
          <w:marLeft w:val="0"/>
          <w:marRight w:val="0"/>
          <w:marTop w:val="0"/>
          <w:marBottom w:val="0"/>
          <w:divBdr>
            <w:top w:val="none" w:sz="0" w:space="0" w:color="auto"/>
            <w:left w:val="none" w:sz="0" w:space="0" w:color="auto"/>
            <w:bottom w:val="none" w:sz="0" w:space="0" w:color="auto"/>
            <w:right w:val="none" w:sz="0" w:space="0" w:color="auto"/>
          </w:divBdr>
          <w:divsChild>
            <w:div w:id="737365750">
              <w:marLeft w:val="0"/>
              <w:marRight w:val="0"/>
              <w:marTop w:val="0"/>
              <w:marBottom w:val="0"/>
              <w:divBdr>
                <w:top w:val="none" w:sz="0" w:space="0" w:color="auto"/>
                <w:left w:val="none" w:sz="0" w:space="0" w:color="auto"/>
                <w:bottom w:val="none" w:sz="0" w:space="0" w:color="auto"/>
                <w:right w:val="none" w:sz="0" w:space="0" w:color="auto"/>
              </w:divBdr>
              <w:divsChild>
                <w:div w:id="1782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3631">
      <w:bodyDiv w:val="1"/>
      <w:marLeft w:val="0"/>
      <w:marRight w:val="0"/>
      <w:marTop w:val="0"/>
      <w:marBottom w:val="0"/>
      <w:divBdr>
        <w:top w:val="none" w:sz="0" w:space="0" w:color="auto"/>
        <w:left w:val="none" w:sz="0" w:space="0" w:color="auto"/>
        <w:bottom w:val="none" w:sz="0" w:space="0" w:color="auto"/>
        <w:right w:val="none" w:sz="0" w:space="0" w:color="auto"/>
      </w:divBdr>
    </w:div>
    <w:div w:id="1654095774">
      <w:bodyDiv w:val="1"/>
      <w:marLeft w:val="0"/>
      <w:marRight w:val="0"/>
      <w:marTop w:val="0"/>
      <w:marBottom w:val="0"/>
      <w:divBdr>
        <w:top w:val="none" w:sz="0" w:space="0" w:color="auto"/>
        <w:left w:val="none" w:sz="0" w:space="0" w:color="auto"/>
        <w:bottom w:val="none" w:sz="0" w:space="0" w:color="auto"/>
        <w:right w:val="none" w:sz="0" w:space="0" w:color="auto"/>
      </w:divBdr>
    </w:div>
    <w:div w:id="1676151486">
      <w:bodyDiv w:val="1"/>
      <w:marLeft w:val="0"/>
      <w:marRight w:val="0"/>
      <w:marTop w:val="0"/>
      <w:marBottom w:val="0"/>
      <w:divBdr>
        <w:top w:val="none" w:sz="0" w:space="0" w:color="auto"/>
        <w:left w:val="none" w:sz="0" w:space="0" w:color="auto"/>
        <w:bottom w:val="none" w:sz="0" w:space="0" w:color="auto"/>
        <w:right w:val="none" w:sz="0" w:space="0" w:color="auto"/>
      </w:divBdr>
    </w:div>
    <w:div w:id="1754357110">
      <w:bodyDiv w:val="1"/>
      <w:marLeft w:val="0"/>
      <w:marRight w:val="0"/>
      <w:marTop w:val="0"/>
      <w:marBottom w:val="0"/>
      <w:divBdr>
        <w:top w:val="none" w:sz="0" w:space="0" w:color="auto"/>
        <w:left w:val="none" w:sz="0" w:space="0" w:color="auto"/>
        <w:bottom w:val="none" w:sz="0" w:space="0" w:color="auto"/>
        <w:right w:val="none" w:sz="0" w:space="0" w:color="auto"/>
      </w:divBdr>
    </w:div>
    <w:div w:id="1811284251">
      <w:bodyDiv w:val="1"/>
      <w:marLeft w:val="0"/>
      <w:marRight w:val="0"/>
      <w:marTop w:val="0"/>
      <w:marBottom w:val="0"/>
      <w:divBdr>
        <w:top w:val="none" w:sz="0" w:space="0" w:color="auto"/>
        <w:left w:val="none" w:sz="0" w:space="0" w:color="auto"/>
        <w:bottom w:val="none" w:sz="0" w:space="0" w:color="auto"/>
        <w:right w:val="none" w:sz="0" w:space="0" w:color="auto"/>
      </w:divBdr>
    </w:div>
    <w:div w:id="1884556231">
      <w:bodyDiv w:val="1"/>
      <w:marLeft w:val="0"/>
      <w:marRight w:val="0"/>
      <w:marTop w:val="0"/>
      <w:marBottom w:val="0"/>
      <w:divBdr>
        <w:top w:val="none" w:sz="0" w:space="0" w:color="auto"/>
        <w:left w:val="none" w:sz="0" w:space="0" w:color="auto"/>
        <w:bottom w:val="none" w:sz="0" w:space="0" w:color="auto"/>
        <w:right w:val="none" w:sz="0" w:space="0" w:color="auto"/>
      </w:divBdr>
    </w:div>
    <w:div w:id="1898473911">
      <w:bodyDiv w:val="1"/>
      <w:marLeft w:val="0"/>
      <w:marRight w:val="0"/>
      <w:marTop w:val="0"/>
      <w:marBottom w:val="0"/>
      <w:divBdr>
        <w:top w:val="none" w:sz="0" w:space="0" w:color="auto"/>
        <w:left w:val="none" w:sz="0" w:space="0" w:color="auto"/>
        <w:bottom w:val="none" w:sz="0" w:space="0" w:color="auto"/>
        <w:right w:val="none" w:sz="0" w:space="0" w:color="auto"/>
      </w:divBdr>
      <w:divsChild>
        <w:div w:id="1015812454">
          <w:marLeft w:val="0"/>
          <w:marRight w:val="0"/>
          <w:marTop w:val="0"/>
          <w:marBottom w:val="0"/>
          <w:divBdr>
            <w:top w:val="none" w:sz="0" w:space="0" w:color="auto"/>
            <w:left w:val="none" w:sz="0" w:space="0" w:color="auto"/>
            <w:bottom w:val="none" w:sz="0" w:space="0" w:color="auto"/>
            <w:right w:val="none" w:sz="0" w:space="0" w:color="auto"/>
          </w:divBdr>
          <w:divsChild>
            <w:div w:id="1000811034">
              <w:marLeft w:val="0"/>
              <w:marRight w:val="0"/>
              <w:marTop w:val="0"/>
              <w:marBottom w:val="0"/>
              <w:divBdr>
                <w:top w:val="none" w:sz="0" w:space="0" w:color="auto"/>
                <w:left w:val="none" w:sz="0" w:space="0" w:color="auto"/>
                <w:bottom w:val="none" w:sz="0" w:space="0" w:color="auto"/>
                <w:right w:val="none" w:sz="0" w:space="0" w:color="auto"/>
              </w:divBdr>
            </w:div>
            <w:div w:id="1540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9949">
      <w:bodyDiv w:val="1"/>
      <w:marLeft w:val="0"/>
      <w:marRight w:val="0"/>
      <w:marTop w:val="0"/>
      <w:marBottom w:val="0"/>
      <w:divBdr>
        <w:top w:val="none" w:sz="0" w:space="0" w:color="auto"/>
        <w:left w:val="none" w:sz="0" w:space="0" w:color="auto"/>
        <w:bottom w:val="none" w:sz="0" w:space="0" w:color="auto"/>
        <w:right w:val="none" w:sz="0" w:space="0" w:color="auto"/>
      </w:divBdr>
    </w:div>
    <w:div w:id="1939408995">
      <w:bodyDiv w:val="1"/>
      <w:marLeft w:val="0"/>
      <w:marRight w:val="0"/>
      <w:marTop w:val="0"/>
      <w:marBottom w:val="0"/>
      <w:divBdr>
        <w:top w:val="none" w:sz="0" w:space="0" w:color="auto"/>
        <w:left w:val="none" w:sz="0" w:space="0" w:color="auto"/>
        <w:bottom w:val="none" w:sz="0" w:space="0" w:color="auto"/>
        <w:right w:val="none" w:sz="0" w:space="0" w:color="auto"/>
      </w:divBdr>
    </w:div>
    <w:div w:id="1943608252">
      <w:bodyDiv w:val="1"/>
      <w:marLeft w:val="0"/>
      <w:marRight w:val="0"/>
      <w:marTop w:val="0"/>
      <w:marBottom w:val="0"/>
      <w:divBdr>
        <w:top w:val="none" w:sz="0" w:space="0" w:color="auto"/>
        <w:left w:val="none" w:sz="0" w:space="0" w:color="auto"/>
        <w:bottom w:val="none" w:sz="0" w:space="0" w:color="auto"/>
        <w:right w:val="none" w:sz="0" w:space="0" w:color="auto"/>
      </w:divBdr>
      <w:divsChild>
        <w:div w:id="1364669643">
          <w:marLeft w:val="0"/>
          <w:marRight w:val="0"/>
          <w:marTop w:val="0"/>
          <w:marBottom w:val="0"/>
          <w:divBdr>
            <w:top w:val="none" w:sz="0" w:space="0" w:color="auto"/>
            <w:left w:val="none" w:sz="0" w:space="0" w:color="auto"/>
            <w:bottom w:val="none" w:sz="0" w:space="0" w:color="auto"/>
            <w:right w:val="none" w:sz="0" w:space="0" w:color="auto"/>
          </w:divBdr>
        </w:div>
      </w:divsChild>
    </w:div>
    <w:div w:id="20993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81B1-40EF-4BC8-956B-A6D7CA49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4141</Words>
  <Characters>23610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Аналіз впливу регуляторного акта</vt:lpstr>
    </vt:vector>
  </TitlesOfParts>
  <Company>MLSP</Company>
  <LinksUpToDate>false</LinksUpToDate>
  <CharactersWithSpaces>27696</CharactersWithSpaces>
  <SharedDoc>false</SharedDoc>
  <HLinks>
    <vt:vector size="12" baseType="variant">
      <vt:variant>
        <vt:i4>3735656</vt:i4>
      </vt:variant>
      <vt:variant>
        <vt:i4>3</vt:i4>
      </vt:variant>
      <vt:variant>
        <vt:i4>0</vt:i4>
      </vt:variant>
      <vt:variant>
        <vt:i4>5</vt:i4>
      </vt:variant>
      <vt:variant>
        <vt:lpwstr>http://www.youtube.com/</vt:lpwstr>
      </vt:variant>
      <vt:variant>
        <vt:lpwstr/>
      </vt:variant>
      <vt:variant>
        <vt:i4>458818</vt:i4>
      </vt:variant>
      <vt:variant>
        <vt:i4>0</vt:i4>
      </vt:variant>
      <vt:variant>
        <vt:i4>0</vt:i4>
      </vt:variant>
      <vt:variant>
        <vt:i4>5</vt:i4>
      </vt:variant>
      <vt:variant>
        <vt:lpwstr>http://www.interbuh.com.ua/ua/documents/oneregulations/83110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впливу регуляторного акта</dc:title>
  <dc:subject/>
  <dc:creator>roman</dc:creator>
  <cp:keywords/>
  <dc:description/>
  <cp:lastModifiedBy>Денис Петров</cp:lastModifiedBy>
  <cp:revision>21</cp:revision>
  <cp:lastPrinted>2018-12-07T10:19:00Z</cp:lastPrinted>
  <dcterms:created xsi:type="dcterms:W3CDTF">2018-11-29T14:33:00Z</dcterms:created>
  <dcterms:modified xsi:type="dcterms:W3CDTF">2019-10-09T12:46:00Z</dcterms:modified>
</cp:coreProperties>
</file>