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B0" w:rsidRDefault="00D32FB0" w:rsidP="00D32FB0">
      <w:pPr>
        <w:spacing w:before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0B12B4" w:rsidRDefault="003219E7" w:rsidP="00566273">
      <w:pPr>
        <w:spacing w:before="0"/>
        <w:ind w:firstLine="0"/>
        <w:jc w:val="center"/>
        <w:rPr>
          <w:b/>
          <w:bCs/>
          <w:sz w:val="28"/>
          <w:szCs w:val="28"/>
          <w:lang w:val="uk-UA"/>
        </w:rPr>
      </w:pPr>
      <w:r w:rsidRPr="00D32FB0">
        <w:rPr>
          <w:b/>
          <w:bCs/>
          <w:sz w:val="28"/>
          <w:szCs w:val="28"/>
          <w:lang w:val="uk-UA"/>
        </w:rPr>
        <w:t>АНАЛІЗ РЕГУЛЯТОРНОГО ВПЛИВУ</w:t>
      </w:r>
    </w:p>
    <w:p w:rsidR="00566273" w:rsidRDefault="00AE239B" w:rsidP="0056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b/>
          <w:sz w:val="28"/>
          <w:szCs w:val="28"/>
          <w:lang w:val="uk-UA"/>
        </w:rPr>
      </w:pPr>
      <w:r w:rsidRPr="00D32FB0">
        <w:rPr>
          <w:b/>
          <w:sz w:val="28"/>
          <w:szCs w:val="28"/>
          <w:lang w:val="uk-UA"/>
        </w:rPr>
        <w:t xml:space="preserve">до проєкту </w:t>
      </w:r>
      <w:r w:rsidR="00672632" w:rsidRPr="00D32FB0">
        <w:rPr>
          <w:b/>
          <w:sz w:val="28"/>
          <w:szCs w:val="28"/>
          <w:lang w:val="uk-UA"/>
        </w:rPr>
        <w:t xml:space="preserve">наказу Міністерства енергетики України </w:t>
      </w:r>
    </w:p>
    <w:p w:rsidR="00566273" w:rsidRDefault="00672632" w:rsidP="0056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b/>
          <w:bCs/>
          <w:sz w:val="28"/>
          <w:szCs w:val="28"/>
          <w:lang w:val="uk-UA" w:eastAsia="uk-UA"/>
        </w:rPr>
      </w:pPr>
      <w:r w:rsidRPr="00D32FB0">
        <w:rPr>
          <w:b/>
          <w:sz w:val="28"/>
          <w:szCs w:val="28"/>
          <w:lang w:val="uk-UA"/>
        </w:rPr>
        <w:t>«</w:t>
      </w:r>
      <w:r w:rsidR="00566273" w:rsidRPr="00550D5C">
        <w:rPr>
          <w:b/>
          <w:bCs/>
          <w:sz w:val="28"/>
          <w:szCs w:val="28"/>
          <w:lang w:val="uk-UA"/>
        </w:rPr>
        <w:t xml:space="preserve">Про затвердження Положення </w:t>
      </w:r>
      <w:r w:rsidR="00566273" w:rsidRPr="00550D5C">
        <w:rPr>
          <w:b/>
          <w:bCs/>
          <w:sz w:val="28"/>
          <w:szCs w:val="28"/>
          <w:lang w:val="uk-UA" w:eastAsia="uk-UA"/>
        </w:rPr>
        <w:t>про порядок підготовки та оцінки готовності теплових, тепловикористальних установок і мереж, енергетичного обладнання суб’єктів відносин у сфері теплопостачання</w:t>
      </w:r>
    </w:p>
    <w:p w:rsidR="003219E7" w:rsidRPr="00D32FB0" w:rsidRDefault="00566273" w:rsidP="00566273">
      <w:pPr>
        <w:spacing w:before="0"/>
        <w:ind w:firstLine="0"/>
        <w:jc w:val="center"/>
        <w:rPr>
          <w:b/>
          <w:sz w:val="28"/>
          <w:szCs w:val="28"/>
          <w:lang w:val="uk-UA"/>
        </w:rPr>
      </w:pPr>
      <w:r w:rsidRPr="00550D5C">
        <w:rPr>
          <w:b/>
          <w:bCs/>
          <w:sz w:val="28"/>
          <w:szCs w:val="28"/>
          <w:lang w:val="uk-UA" w:eastAsia="uk-UA"/>
        </w:rPr>
        <w:t>до роботи в опалювальний період</w:t>
      </w:r>
      <w:r w:rsidR="00672632" w:rsidRPr="00D32FB0">
        <w:rPr>
          <w:b/>
          <w:sz w:val="28"/>
          <w:szCs w:val="28"/>
          <w:lang w:val="uk-UA"/>
        </w:rPr>
        <w:t>»</w:t>
      </w:r>
    </w:p>
    <w:p w:rsidR="003219E7" w:rsidRPr="00D32FB0" w:rsidRDefault="003219E7" w:rsidP="00D32FB0">
      <w:pPr>
        <w:spacing w:before="0"/>
        <w:ind w:right="204" w:firstLine="709"/>
        <w:rPr>
          <w:sz w:val="28"/>
          <w:szCs w:val="28"/>
          <w:lang w:val="uk-UA"/>
        </w:rPr>
      </w:pPr>
    </w:p>
    <w:p w:rsidR="003219E7" w:rsidRDefault="00B34DE1" w:rsidP="00566273">
      <w:pPr>
        <w:spacing w:before="0"/>
        <w:ind w:left="567" w:right="1" w:firstLine="0"/>
        <w:jc w:val="center"/>
        <w:rPr>
          <w:b/>
          <w:bCs/>
          <w:sz w:val="28"/>
          <w:szCs w:val="28"/>
          <w:lang w:val="uk-UA"/>
        </w:rPr>
      </w:pPr>
      <w:r w:rsidRPr="00D32FB0">
        <w:rPr>
          <w:b/>
          <w:bCs/>
          <w:sz w:val="28"/>
          <w:szCs w:val="28"/>
          <w:lang w:val="uk-UA"/>
        </w:rPr>
        <w:t xml:space="preserve">І. </w:t>
      </w:r>
      <w:r w:rsidR="003219E7" w:rsidRPr="00896A61">
        <w:rPr>
          <w:b/>
          <w:bCs/>
          <w:sz w:val="28"/>
          <w:szCs w:val="28"/>
          <w:lang w:val="uk-UA"/>
        </w:rPr>
        <w:t>Визначення проблеми</w:t>
      </w:r>
    </w:p>
    <w:p w:rsidR="00C149E0" w:rsidRDefault="00C149E0" w:rsidP="00566273">
      <w:pPr>
        <w:spacing w:before="0"/>
        <w:ind w:left="567" w:right="1" w:firstLine="0"/>
        <w:jc w:val="center"/>
        <w:rPr>
          <w:b/>
          <w:bCs/>
          <w:sz w:val="28"/>
          <w:szCs w:val="28"/>
          <w:lang w:val="uk-UA"/>
        </w:rPr>
      </w:pPr>
    </w:p>
    <w:p w:rsidR="00B70659" w:rsidRPr="00EC0706" w:rsidRDefault="00ED5A2E" w:rsidP="0041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8"/>
          <w:szCs w:val="28"/>
          <w:shd w:val="clear" w:color="auto" w:fill="FFFFFF"/>
          <w:lang w:val="uk-UA"/>
        </w:rPr>
      </w:pPr>
      <w:r w:rsidRPr="00EC0706">
        <w:rPr>
          <w:sz w:val="28"/>
          <w:szCs w:val="28"/>
          <w:lang w:val="uk-UA" w:eastAsia="uk-UA"/>
        </w:rPr>
        <w:t>Основним завданням державного управління у сфері теплопостачання є забезпечення надійності теплопостачання як одного з необхідних елементів безпеки людини.</w:t>
      </w:r>
      <w:r w:rsidR="00B70659" w:rsidRPr="00EC0706">
        <w:rPr>
          <w:sz w:val="28"/>
          <w:szCs w:val="28"/>
          <w:lang w:val="uk-UA" w:eastAsia="uk-UA"/>
        </w:rPr>
        <w:t xml:space="preserve"> </w:t>
      </w:r>
      <w:r w:rsidR="00B70659" w:rsidRPr="00EC0706">
        <w:rPr>
          <w:bCs/>
          <w:sz w:val="28"/>
          <w:szCs w:val="28"/>
          <w:lang w:val="uk-UA" w:eastAsia="uk-UA"/>
        </w:rPr>
        <w:t xml:space="preserve">Належна та своєчасна підготовка </w:t>
      </w:r>
      <w:r w:rsidR="00B70659" w:rsidRPr="00EC0706">
        <w:rPr>
          <w:sz w:val="28"/>
          <w:szCs w:val="28"/>
          <w:lang w:val="uk-UA" w:eastAsia="uk-UA"/>
        </w:rPr>
        <w:t>теплових, тепловикористальних установок і мереж, енергетичного обладнання суб’єктів відносин у сфері теплопостачання</w:t>
      </w:r>
      <w:r w:rsidR="00B70659" w:rsidRPr="00EC0706">
        <w:rPr>
          <w:bCs/>
          <w:sz w:val="28"/>
          <w:szCs w:val="28"/>
          <w:lang w:val="uk-UA" w:eastAsia="uk-UA"/>
        </w:rPr>
        <w:t xml:space="preserve"> до роботи в </w:t>
      </w:r>
      <w:r w:rsidR="00F0041B" w:rsidRPr="00EC0706">
        <w:rPr>
          <w:bCs/>
          <w:sz w:val="28"/>
          <w:szCs w:val="28"/>
          <w:lang w:val="uk-UA" w:eastAsia="uk-UA"/>
        </w:rPr>
        <w:t>опалюв</w:t>
      </w:r>
      <w:r w:rsidR="00415BF7">
        <w:rPr>
          <w:bCs/>
          <w:sz w:val="28"/>
          <w:szCs w:val="28"/>
          <w:lang w:val="uk-UA" w:eastAsia="uk-UA"/>
        </w:rPr>
        <w:t>а</w:t>
      </w:r>
      <w:r w:rsidR="00F0041B" w:rsidRPr="00EC0706">
        <w:rPr>
          <w:bCs/>
          <w:sz w:val="28"/>
          <w:szCs w:val="28"/>
          <w:lang w:val="uk-UA" w:eastAsia="uk-UA"/>
        </w:rPr>
        <w:t>льний період (далі - ОП)</w:t>
      </w:r>
      <w:r w:rsidR="00B70659" w:rsidRPr="00EC0706">
        <w:rPr>
          <w:bCs/>
          <w:sz w:val="28"/>
          <w:szCs w:val="28"/>
          <w:lang w:val="uk-UA" w:eastAsia="uk-UA"/>
        </w:rPr>
        <w:t xml:space="preserve"> є передумовою забезпечення сталого та надійного постачання теплової енергії споживачам та запобігання технологічних порушень </w:t>
      </w:r>
      <w:r w:rsidR="00B70659" w:rsidRPr="00EC0706">
        <w:rPr>
          <w:sz w:val="28"/>
          <w:szCs w:val="28"/>
          <w:lang w:val="uk-UA"/>
        </w:rPr>
        <w:t>на енергетичному обладнанні та теплових мережах</w:t>
      </w:r>
      <w:r w:rsidR="00B70659" w:rsidRPr="00EC0706">
        <w:rPr>
          <w:bCs/>
          <w:sz w:val="28"/>
          <w:szCs w:val="28"/>
          <w:lang w:val="uk-UA" w:eastAsia="uk-UA"/>
        </w:rPr>
        <w:t xml:space="preserve"> під час проходження опалювального періоду,</w:t>
      </w:r>
      <w:r w:rsidR="00B70659" w:rsidRPr="00EC0706">
        <w:rPr>
          <w:bCs/>
          <w:i/>
          <w:sz w:val="28"/>
          <w:szCs w:val="28"/>
          <w:lang w:val="uk-UA" w:eastAsia="uk-UA"/>
        </w:rPr>
        <w:t xml:space="preserve"> </w:t>
      </w:r>
      <w:r w:rsidR="00B70659" w:rsidRPr="00EC0706">
        <w:rPr>
          <w:bCs/>
          <w:sz w:val="28"/>
          <w:szCs w:val="28"/>
          <w:lang w:val="uk-UA" w:eastAsia="uk-UA"/>
        </w:rPr>
        <w:t xml:space="preserve">а також складовою частиною системи заходів, </w:t>
      </w:r>
      <w:r w:rsidR="00B70659" w:rsidRPr="00EC0706">
        <w:rPr>
          <w:sz w:val="28"/>
          <w:szCs w:val="28"/>
          <w:shd w:val="clear" w:color="auto" w:fill="FFFFFF"/>
          <w:lang w:val="uk-UA"/>
        </w:rPr>
        <w:t>що забезпечують належний технічний стан теплоенергетичного обладнання та мереж, організацію їх експлуатації</w:t>
      </w:r>
      <w:r w:rsidR="00B70659" w:rsidRPr="00EC0706">
        <w:rPr>
          <w:bCs/>
          <w:sz w:val="28"/>
          <w:szCs w:val="28"/>
          <w:lang w:val="uk-UA" w:eastAsia="uk-UA"/>
        </w:rPr>
        <w:t xml:space="preserve">, </w:t>
      </w:r>
      <w:r w:rsidR="00B70659" w:rsidRPr="00EC0706">
        <w:rPr>
          <w:sz w:val="28"/>
          <w:szCs w:val="28"/>
          <w:shd w:val="clear" w:color="auto" w:fill="FFFFFF"/>
          <w:lang w:val="uk-UA"/>
        </w:rPr>
        <w:t xml:space="preserve">згідно вимог нормативно-правових актів, норм і </w:t>
      </w:r>
      <w:r w:rsidR="00B70659" w:rsidRPr="00D446E9">
        <w:rPr>
          <w:sz w:val="28"/>
          <w:szCs w:val="28"/>
          <w:shd w:val="clear" w:color="auto" w:fill="FFFFFF"/>
          <w:lang w:val="uk-UA"/>
        </w:rPr>
        <w:t>правил.</w:t>
      </w:r>
    </w:p>
    <w:p w:rsidR="006F6E04" w:rsidRPr="00EC0706" w:rsidRDefault="002F5B6A" w:rsidP="00987AF5">
      <w:pPr>
        <w:spacing w:before="0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>Слід зазначити, що п</w:t>
      </w:r>
      <w:r w:rsidR="006F6E04" w:rsidRPr="00EC0706">
        <w:rPr>
          <w:sz w:val="28"/>
          <w:szCs w:val="28"/>
          <w:lang w:val="uk-UA"/>
        </w:rPr>
        <w:t>ротягом опалювального періоду 2020-2021 років в Україні відбулося 4656 випадків технологічних порушень, які в свою чергу призвели до зупинки джерел теплової енергії, порушення нормального режиму роботи теплових мереж та спричинили припинення теплопостачання населення та соціально важливих споживачів. Без опалення та/або гарячого водопостачання залишалися: 32559 житлових будинків, 452 заклад</w:t>
      </w:r>
      <w:r w:rsidR="00415BF7">
        <w:rPr>
          <w:sz w:val="28"/>
          <w:szCs w:val="28"/>
          <w:lang w:val="uk-UA"/>
        </w:rPr>
        <w:t>и</w:t>
      </w:r>
      <w:r w:rsidR="006F6E04" w:rsidRPr="00EC0706">
        <w:rPr>
          <w:sz w:val="28"/>
          <w:szCs w:val="28"/>
          <w:lang w:val="uk-UA"/>
        </w:rPr>
        <w:t xml:space="preserve"> охорони здоров’я, 1319 заклад</w:t>
      </w:r>
      <w:r w:rsidR="00415BF7">
        <w:rPr>
          <w:sz w:val="28"/>
          <w:szCs w:val="28"/>
          <w:lang w:val="uk-UA"/>
        </w:rPr>
        <w:t>ів</w:t>
      </w:r>
      <w:r w:rsidR="006F6E04" w:rsidRPr="00EC0706">
        <w:rPr>
          <w:sz w:val="28"/>
          <w:szCs w:val="28"/>
          <w:lang w:val="uk-UA"/>
        </w:rPr>
        <w:t xml:space="preserve"> дошкільної освіти та 1098 закладів освіти.</w:t>
      </w:r>
    </w:p>
    <w:p w:rsidR="002F5B6A" w:rsidRPr="00EC0706" w:rsidRDefault="002F5B6A" w:rsidP="00987AF5">
      <w:pPr>
        <w:pStyle w:val="ad"/>
        <w:spacing w:before="0"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EC0706">
        <w:rPr>
          <w:rStyle w:val="rvts0"/>
          <w:rFonts w:ascii="Times New Roman" w:hAnsi="Times New Roman"/>
          <w:sz w:val="28"/>
          <w:szCs w:val="28"/>
          <w:lang w:val="uk-UA"/>
        </w:rPr>
        <w:t>В окремих районах Києва відбувається по 6 поривів/рік*км (натомість,  в країнах ЄС цей показник не перевищує 0,1).</w:t>
      </w:r>
    </w:p>
    <w:p w:rsidR="006F6E04" w:rsidRPr="00EC0706" w:rsidRDefault="002F5B6A" w:rsidP="00987AF5">
      <w:pPr>
        <w:pStyle w:val="ad"/>
        <w:spacing w:before="0"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EC0706">
        <w:rPr>
          <w:rStyle w:val="rvts0"/>
          <w:rFonts w:ascii="Times New Roman" w:hAnsi="Times New Roman"/>
          <w:sz w:val="28"/>
          <w:szCs w:val="28"/>
          <w:lang w:val="uk-UA"/>
        </w:rPr>
        <w:t xml:space="preserve">Кількість пошкоджень та відмов, що призводять до припинення теплопостачання або зниження його якості щороку збільшується. </w:t>
      </w:r>
    </w:p>
    <w:p w:rsidR="006F6E04" w:rsidRPr="00EC0706" w:rsidRDefault="002F5B6A" w:rsidP="00987AF5">
      <w:pPr>
        <w:spacing w:before="0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 xml:space="preserve">Така ситуація </w:t>
      </w:r>
      <w:r w:rsidR="00C60C83" w:rsidRPr="00EC0706">
        <w:rPr>
          <w:sz w:val="28"/>
          <w:szCs w:val="28"/>
          <w:lang w:val="uk-UA"/>
        </w:rPr>
        <w:t>усугубляється</w:t>
      </w:r>
      <w:r w:rsidRPr="00EC0706">
        <w:rPr>
          <w:sz w:val="28"/>
          <w:szCs w:val="28"/>
          <w:lang w:val="uk-UA"/>
        </w:rPr>
        <w:t xml:space="preserve"> тим, що у</w:t>
      </w:r>
      <w:r w:rsidR="006F6E04" w:rsidRPr="00EC0706">
        <w:rPr>
          <w:sz w:val="28"/>
          <w:szCs w:val="28"/>
          <w:lang w:val="uk-UA"/>
        </w:rPr>
        <w:t xml:space="preserve"> сфері теплопостачання зокрема: </w:t>
      </w:r>
    </w:p>
    <w:p w:rsidR="006F6E04" w:rsidRPr="00EC0706" w:rsidRDefault="006F6E04" w:rsidP="00987AF5">
      <w:pPr>
        <w:spacing w:before="0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 xml:space="preserve">41,0 % котлів з терміном експлуатації понад 30 років; </w:t>
      </w:r>
    </w:p>
    <w:p w:rsidR="006F6E04" w:rsidRDefault="006F6E04" w:rsidP="00987AF5">
      <w:pPr>
        <w:spacing w:before="0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>78,5 % теплових мереж з терміном експлуатації понад 25 років</w:t>
      </w:r>
      <w:r w:rsidR="00C60C83" w:rsidRPr="00EC0706">
        <w:rPr>
          <w:sz w:val="28"/>
          <w:szCs w:val="28"/>
          <w:lang w:val="uk-UA"/>
        </w:rPr>
        <w:t>.</w:t>
      </w:r>
    </w:p>
    <w:p w:rsidR="00405763" w:rsidRPr="00415BF7" w:rsidRDefault="00405763" w:rsidP="00987AF5">
      <w:pPr>
        <w:spacing w:before="0"/>
        <w:rPr>
          <w:sz w:val="28"/>
          <w:szCs w:val="28"/>
          <w:lang w:val="uk-UA"/>
        </w:rPr>
      </w:pPr>
      <w:r w:rsidRPr="00415BF7">
        <w:rPr>
          <w:sz w:val="28"/>
          <w:szCs w:val="28"/>
          <w:lang w:val="uk-UA"/>
        </w:rPr>
        <w:t xml:space="preserve">Цей факт посилює необхідність більш вимогливого ставлення до </w:t>
      </w:r>
      <w:r w:rsidR="00AA7FAC" w:rsidRPr="00987AF5">
        <w:rPr>
          <w:sz w:val="28"/>
          <w:szCs w:val="28"/>
          <w:lang w:val="uk-UA"/>
        </w:rPr>
        <w:t>складання та реалізації</w:t>
      </w:r>
      <w:r w:rsidR="00470ED5" w:rsidRPr="00987AF5">
        <w:rPr>
          <w:sz w:val="28"/>
          <w:szCs w:val="28"/>
          <w:lang w:val="uk-UA"/>
        </w:rPr>
        <w:t xml:space="preserve"> </w:t>
      </w:r>
      <w:r w:rsidRPr="00415BF7">
        <w:rPr>
          <w:sz w:val="28"/>
          <w:szCs w:val="28"/>
          <w:lang w:val="uk-UA"/>
        </w:rPr>
        <w:t xml:space="preserve">плану заходів щодо підготовки до ОП та контролю їх виконання. </w:t>
      </w:r>
    </w:p>
    <w:p w:rsidR="005C1D7A" w:rsidRPr="00EC0706" w:rsidRDefault="005C1D7A" w:rsidP="00987AF5">
      <w:pPr>
        <w:spacing w:before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Таким чином, загальнодержавною проблемою постає зниження надійності та якості теплопостачання через </w:t>
      </w:r>
      <w:r w:rsidR="001C658E">
        <w:rPr>
          <w:bCs/>
          <w:sz w:val="28"/>
          <w:szCs w:val="28"/>
          <w:lang w:val="uk-UA" w:eastAsia="uk-UA"/>
        </w:rPr>
        <w:t>неефективність</w:t>
      </w:r>
      <w:r>
        <w:rPr>
          <w:bCs/>
          <w:sz w:val="28"/>
          <w:szCs w:val="28"/>
          <w:lang w:val="uk-UA" w:eastAsia="uk-UA"/>
        </w:rPr>
        <w:t xml:space="preserve"> унормованих механізмів формування та виконання заходів, необхідних для безаварійного проходження ОП та здійснення </w:t>
      </w:r>
      <w:r w:rsidR="001C658E">
        <w:rPr>
          <w:bCs/>
          <w:sz w:val="28"/>
          <w:szCs w:val="28"/>
          <w:lang w:val="uk-UA" w:eastAsia="uk-UA"/>
        </w:rPr>
        <w:t>контролю їх складання</w:t>
      </w:r>
      <w:r w:rsidR="004F3A0E">
        <w:rPr>
          <w:bCs/>
          <w:sz w:val="28"/>
          <w:szCs w:val="28"/>
          <w:lang w:val="uk-UA" w:eastAsia="uk-UA"/>
        </w:rPr>
        <w:t xml:space="preserve"> та</w:t>
      </w:r>
      <w:r>
        <w:rPr>
          <w:bCs/>
          <w:sz w:val="28"/>
          <w:szCs w:val="28"/>
          <w:lang w:val="uk-UA" w:eastAsia="uk-UA"/>
        </w:rPr>
        <w:t xml:space="preserve"> виконання. </w:t>
      </w:r>
    </w:p>
    <w:p w:rsidR="000226AD" w:rsidRPr="00EC0706" w:rsidRDefault="00C60C83" w:rsidP="00987AF5">
      <w:pPr>
        <w:spacing w:before="0"/>
        <w:rPr>
          <w:bCs/>
          <w:sz w:val="28"/>
          <w:szCs w:val="28"/>
          <w:lang w:val="uk-UA" w:eastAsia="uk-UA"/>
        </w:rPr>
      </w:pPr>
      <w:r w:rsidRPr="00EC0706">
        <w:rPr>
          <w:sz w:val="28"/>
          <w:szCs w:val="28"/>
          <w:lang w:val="uk-UA"/>
        </w:rPr>
        <w:t xml:space="preserve">Причиною збільшення відмов обладнання є </w:t>
      </w:r>
      <w:r w:rsidR="00B70659" w:rsidRPr="00EC0706">
        <w:rPr>
          <w:sz w:val="28"/>
          <w:szCs w:val="28"/>
          <w:lang w:val="uk-UA"/>
        </w:rPr>
        <w:t xml:space="preserve">неврегульовані питання </w:t>
      </w:r>
      <w:r w:rsidR="00B70659" w:rsidRPr="00EC0706">
        <w:rPr>
          <w:bCs/>
          <w:sz w:val="28"/>
          <w:szCs w:val="28"/>
          <w:lang w:val="uk-UA" w:eastAsia="uk-UA"/>
        </w:rPr>
        <w:t xml:space="preserve">порядку підготовки та оцінки готовності </w:t>
      </w:r>
      <w:r w:rsidRPr="00EC0706">
        <w:rPr>
          <w:bCs/>
          <w:sz w:val="28"/>
          <w:szCs w:val="28"/>
          <w:lang w:val="uk-UA" w:eastAsia="uk-UA"/>
        </w:rPr>
        <w:t>енергетичного обладнання суб’єктів відносин у сфері теплопостачання до роботи в опалювальний період</w:t>
      </w:r>
      <w:r w:rsidR="00B70659" w:rsidRPr="00EC0706">
        <w:rPr>
          <w:bCs/>
          <w:sz w:val="28"/>
          <w:szCs w:val="28"/>
          <w:lang w:val="uk-UA" w:eastAsia="uk-UA"/>
        </w:rPr>
        <w:t xml:space="preserve"> і </w:t>
      </w:r>
      <w:r w:rsidR="000226AD" w:rsidRPr="00EC0706">
        <w:rPr>
          <w:bCs/>
          <w:sz w:val="28"/>
          <w:szCs w:val="28"/>
          <w:lang w:val="uk-UA" w:eastAsia="uk-UA"/>
        </w:rPr>
        <w:t xml:space="preserve">як наслідок </w:t>
      </w:r>
      <w:r w:rsidR="00B70659" w:rsidRPr="00EC0706">
        <w:rPr>
          <w:bCs/>
          <w:sz w:val="28"/>
          <w:szCs w:val="28"/>
          <w:lang w:val="uk-UA" w:eastAsia="uk-UA"/>
        </w:rPr>
        <w:t xml:space="preserve">– незадовільна підготовка обладнання </w:t>
      </w:r>
      <w:r w:rsidR="000226AD" w:rsidRPr="00EC0706">
        <w:rPr>
          <w:bCs/>
          <w:sz w:val="28"/>
          <w:szCs w:val="28"/>
          <w:lang w:val="uk-UA" w:eastAsia="uk-UA"/>
        </w:rPr>
        <w:t xml:space="preserve">до проходження ОП, в тому числі: </w:t>
      </w:r>
    </w:p>
    <w:p w:rsidR="000226AD" w:rsidRPr="00EC0706" w:rsidRDefault="00B4761C" w:rsidP="00987AF5">
      <w:pPr>
        <w:spacing w:before="0"/>
        <w:contextualSpacing/>
        <w:rPr>
          <w:bCs/>
          <w:sz w:val="28"/>
          <w:szCs w:val="28"/>
          <w:lang w:val="uk-UA" w:eastAsia="uk-UA"/>
        </w:rPr>
      </w:pPr>
      <w:r w:rsidRPr="00EC0706">
        <w:rPr>
          <w:bCs/>
          <w:sz w:val="28"/>
          <w:szCs w:val="28"/>
          <w:lang w:val="uk-UA" w:eastAsia="uk-UA"/>
        </w:rPr>
        <w:lastRenderedPageBreak/>
        <w:t>н</w:t>
      </w:r>
      <w:r w:rsidR="000226AD" w:rsidRPr="00EC0706">
        <w:rPr>
          <w:bCs/>
          <w:sz w:val="28"/>
          <w:szCs w:val="28"/>
          <w:lang w:val="uk-UA" w:eastAsia="uk-UA"/>
        </w:rPr>
        <w:t xml:space="preserve">евідповідність обсягів робіт передбачених розробленими заходами по підготовці обладнання </w:t>
      </w:r>
      <w:r w:rsidR="004F3A0E" w:rsidRPr="00EC0706">
        <w:rPr>
          <w:bCs/>
          <w:sz w:val="28"/>
          <w:szCs w:val="28"/>
          <w:lang w:val="uk-UA" w:eastAsia="uk-UA"/>
        </w:rPr>
        <w:t>до ОП</w:t>
      </w:r>
      <w:r w:rsidR="004F3A0E">
        <w:rPr>
          <w:bCs/>
          <w:sz w:val="28"/>
          <w:szCs w:val="28"/>
          <w:lang w:val="uk-UA" w:eastAsia="uk-UA"/>
        </w:rPr>
        <w:t xml:space="preserve">, </w:t>
      </w:r>
      <w:r w:rsidR="000226AD" w:rsidRPr="00EC0706">
        <w:rPr>
          <w:bCs/>
          <w:sz w:val="28"/>
          <w:szCs w:val="28"/>
          <w:lang w:val="uk-UA" w:eastAsia="uk-UA"/>
        </w:rPr>
        <w:t>фактично необхідним, або взагалі їх відсутність</w:t>
      </w:r>
      <w:r w:rsidR="00D446E9">
        <w:rPr>
          <w:bCs/>
          <w:sz w:val="28"/>
          <w:szCs w:val="28"/>
          <w:lang w:val="uk-UA" w:eastAsia="uk-UA"/>
        </w:rPr>
        <w:t>;</w:t>
      </w:r>
      <w:r w:rsidR="000226AD" w:rsidRPr="00EC0706">
        <w:rPr>
          <w:bCs/>
          <w:sz w:val="28"/>
          <w:szCs w:val="28"/>
          <w:lang w:val="uk-UA" w:eastAsia="uk-UA"/>
        </w:rPr>
        <w:t xml:space="preserve"> </w:t>
      </w:r>
    </w:p>
    <w:p w:rsidR="000226AD" w:rsidRDefault="00B4761C" w:rsidP="00987AF5">
      <w:pPr>
        <w:spacing w:before="0"/>
        <w:rPr>
          <w:bCs/>
          <w:sz w:val="28"/>
          <w:szCs w:val="28"/>
          <w:lang w:val="uk-UA" w:eastAsia="uk-UA"/>
        </w:rPr>
      </w:pPr>
      <w:r w:rsidRPr="00EC0706">
        <w:rPr>
          <w:bCs/>
          <w:sz w:val="28"/>
          <w:szCs w:val="28"/>
          <w:lang w:val="uk-UA" w:eastAsia="uk-UA"/>
        </w:rPr>
        <w:t>ч</w:t>
      </w:r>
      <w:r w:rsidR="000226AD" w:rsidRPr="00EC0706">
        <w:rPr>
          <w:bCs/>
          <w:sz w:val="28"/>
          <w:szCs w:val="28"/>
          <w:lang w:val="uk-UA" w:eastAsia="uk-UA"/>
        </w:rPr>
        <w:t xml:space="preserve">асткове або </w:t>
      </w:r>
      <w:r w:rsidR="004F3A0E">
        <w:rPr>
          <w:bCs/>
          <w:sz w:val="28"/>
          <w:szCs w:val="28"/>
          <w:lang w:val="uk-UA" w:eastAsia="uk-UA"/>
        </w:rPr>
        <w:t>формальне</w:t>
      </w:r>
      <w:r w:rsidR="000226AD" w:rsidRPr="00EC0706">
        <w:rPr>
          <w:bCs/>
          <w:sz w:val="28"/>
          <w:szCs w:val="28"/>
          <w:lang w:val="uk-UA" w:eastAsia="uk-UA"/>
        </w:rPr>
        <w:t xml:space="preserve"> виконання </w:t>
      </w:r>
      <w:r w:rsidRPr="00EC0706">
        <w:rPr>
          <w:bCs/>
          <w:sz w:val="28"/>
          <w:szCs w:val="28"/>
          <w:lang w:val="uk-UA" w:eastAsia="uk-UA"/>
        </w:rPr>
        <w:t>розроблених</w:t>
      </w:r>
      <w:r w:rsidR="000226AD" w:rsidRPr="00EC0706">
        <w:rPr>
          <w:bCs/>
          <w:sz w:val="28"/>
          <w:szCs w:val="28"/>
          <w:lang w:val="uk-UA" w:eastAsia="uk-UA"/>
        </w:rPr>
        <w:t xml:space="preserve"> заходів  </w:t>
      </w:r>
      <w:r w:rsidRPr="00BA2612">
        <w:rPr>
          <w:bCs/>
          <w:sz w:val="28"/>
          <w:szCs w:val="28"/>
          <w:lang w:val="uk-UA" w:eastAsia="uk-UA"/>
        </w:rPr>
        <w:t>по підготовці обладнання до ОП</w:t>
      </w:r>
      <w:r w:rsidR="00D446E9">
        <w:rPr>
          <w:bCs/>
          <w:sz w:val="28"/>
          <w:szCs w:val="28"/>
          <w:lang w:val="uk-UA" w:eastAsia="uk-UA"/>
        </w:rPr>
        <w:t>;</w:t>
      </w:r>
      <w:r>
        <w:rPr>
          <w:bCs/>
          <w:sz w:val="28"/>
          <w:szCs w:val="28"/>
          <w:lang w:val="uk-UA" w:eastAsia="uk-UA"/>
        </w:rPr>
        <w:t xml:space="preserve"> </w:t>
      </w:r>
    </w:p>
    <w:p w:rsidR="005C1D7A" w:rsidRDefault="001C658E" w:rsidP="00987AF5">
      <w:pPr>
        <w:spacing w:before="0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з</w:t>
      </w:r>
      <w:r w:rsidR="00B4761C">
        <w:rPr>
          <w:bCs/>
          <w:sz w:val="28"/>
          <w:szCs w:val="28"/>
          <w:lang w:val="uk-UA" w:eastAsia="uk-UA"/>
        </w:rPr>
        <w:t xml:space="preserve">ниження ефективності </w:t>
      </w:r>
      <w:r w:rsidR="004F3A0E">
        <w:rPr>
          <w:bCs/>
          <w:sz w:val="28"/>
          <w:szCs w:val="28"/>
          <w:lang w:val="uk-UA" w:eastAsia="uk-UA"/>
        </w:rPr>
        <w:t xml:space="preserve">механізму </w:t>
      </w:r>
      <w:r w:rsidR="00B4761C">
        <w:rPr>
          <w:bCs/>
          <w:sz w:val="28"/>
          <w:szCs w:val="28"/>
          <w:lang w:val="uk-UA" w:eastAsia="uk-UA"/>
        </w:rPr>
        <w:t xml:space="preserve">оцінки та контролю ходу підготовки теплових господарств до опалювального періоду.  </w:t>
      </w:r>
    </w:p>
    <w:p w:rsidR="00470ED5" w:rsidRPr="00987AF5" w:rsidRDefault="00A26BC5" w:rsidP="0041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8"/>
          <w:szCs w:val="28"/>
          <w:shd w:val="clear" w:color="auto" w:fill="FFFFFF"/>
          <w:lang w:val="uk-UA"/>
        </w:rPr>
      </w:pPr>
      <w:bookmarkStart w:id="1" w:name="n89"/>
      <w:bookmarkStart w:id="2" w:name="n126"/>
      <w:bookmarkEnd w:id="1"/>
      <w:bookmarkEnd w:id="2"/>
      <w:r w:rsidRPr="00EC0706">
        <w:rPr>
          <w:sz w:val="28"/>
          <w:szCs w:val="28"/>
          <w:lang w:val="uk-UA"/>
        </w:rPr>
        <w:t xml:space="preserve">Діючі </w:t>
      </w:r>
      <w:r w:rsidRPr="00EC0706">
        <w:rPr>
          <w:sz w:val="28"/>
          <w:szCs w:val="28"/>
          <w:lang w:val="uk-UA" w:eastAsia="uk-UA"/>
        </w:rPr>
        <w:t xml:space="preserve">Правила підготовки теплових господарств до опалювального періоду, затверджені </w:t>
      </w:r>
      <w:r w:rsidRPr="00EC0706">
        <w:rPr>
          <w:sz w:val="28"/>
          <w:szCs w:val="28"/>
          <w:lang w:val="uk-UA"/>
        </w:rPr>
        <w:t>наказом Міністерства палива та енергетики України, Міністерства з питань житлово-комунального господарства України від</w:t>
      </w:r>
      <w:r w:rsidR="00410A2B">
        <w:rPr>
          <w:sz w:val="28"/>
          <w:szCs w:val="28"/>
          <w:lang w:val="uk-UA"/>
        </w:rPr>
        <w:t xml:space="preserve">         </w:t>
      </w:r>
      <w:r w:rsidRPr="00EC0706">
        <w:rPr>
          <w:sz w:val="28"/>
          <w:szCs w:val="28"/>
          <w:lang w:val="uk-UA"/>
        </w:rPr>
        <w:t>10 грудня 2008 року</w:t>
      </w:r>
      <w:r w:rsidR="00B4761C">
        <w:rPr>
          <w:sz w:val="28"/>
          <w:szCs w:val="28"/>
          <w:lang w:val="uk-UA"/>
        </w:rPr>
        <w:t xml:space="preserve"> </w:t>
      </w:r>
      <w:r w:rsidRPr="00EC0706">
        <w:rPr>
          <w:sz w:val="28"/>
          <w:szCs w:val="28"/>
          <w:lang w:val="uk-UA"/>
        </w:rPr>
        <w:t>№ 620/378, зареєстровані в Міністерстві юстиції України 31 грудня 2008 року з</w:t>
      </w:r>
      <w:r w:rsidR="00B4761C">
        <w:rPr>
          <w:sz w:val="28"/>
          <w:szCs w:val="28"/>
          <w:lang w:val="uk-UA"/>
        </w:rPr>
        <w:t>а</w:t>
      </w:r>
      <w:r w:rsidRPr="00EC0706">
        <w:rPr>
          <w:sz w:val="28"/>
          <w:szCs w:val="28"/>
          <w:lang w:val="uk-UA"/>
        </w:rPr>
        <w:t xml:space="preserve"> № 1310/16001, що </w:t>
      </w:r>
      <w:r w:rsidRPr="00EC0706">
        <w:rPr>
          <w:sz w:val="28"/>
          <w:szCs w:val="28"/>
          <w:shd w:val="clear" w:color="auto" w:fill="FFFFFF"/>
          <w:lang w:val="uk-UA"/>
        </w:rPr>
        <w:t xml:space="preserve">поширюються на суб'єктів господарювання, які здійснюють діяльність з виробництва, постачання, транспортування теплової енергії та надання послуг з теплопостачання (опалення та ГВП), а також на споживачів теплової енергії </w:t>
      </w:r>
      <w:r w:rsidRPr="00104EC5">
        <w:rPr>
          <w:sz w:val="28"/>
          <w:szCs w:val="28"/>
          <w:shd w:val="clear" w:color="auto" w:fill="FFFFFF"/>
          <w:lang w:val="uk-UA"/>
        </w:rPr>
        <w:t>незалежно від організаційно-правових форм та форм власності</w:t>
      </w:r>
      <w:r w:rsidR="00736364" w:rsidRPr="00104EC5">
        <w:rPr>
          <w:sz w:val="28"/>
          <w:szCs w:val="28"/>
          <w:shd w:val="clear" w:color="auto" w:fill="FFFFFF"/>
          <w:lang w:val="uk-UA"/>
        </w:rPr>
        <w:t xml:space="preserve"> (далі - Правила)</w:t>
      </w:r>
      <w:r w:rsidRPr="00104EC5">
        <w:rPr>
          <w:sz w:val="28"/>
          <w:szCs w:val="28"/>
          <w:shd w:val="clear" w:color="auto" w:fill="FFFFFF"/>
          <w:lang w:val="uk-UA"/>
        </w:rPr>
        <w:t xml:space="preserve">, </w:t>
      </w:r>
      <w:r w:rsidRPr="00987AF5">
        <w:rPr>
          <w:sz w:val="28"/>
          <w:szCs w:val="28"/>
          <w:shd w:val="clear" w:color="auto" w:fill="FFFFFF"/>
          <w:lang w:val="uk-UA"/>
        </w:rPr>
        <w:t>не відповідають вимогам законодавства України</w:t>
      </w:r>
      <w:r w:rsidR="00004832" w:rsidRPr="00987AF5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AA7FAC" w:rsidRPr="00987AF5" w:rsidRDefault="00AA7FAC" w:rsidP="00410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8"/>
          <w:szCs w:val="28"/>
          <w:shd w:val="clear" w:color="auto" w:fill="FFFFFF"/>
          <w:lang w:val="uk-UA"/>
        </w:rPr>
      </w:pPr>
      <w:r w:rsidRPr="00987AF5">
        <w:rPr>
          <w:sz w:val="28"/>
          <w:szCs w:val="28"/>
          <w:shd w:val="clear" w:color="auto" w:fill="FFFFFF"/>
          <w:lang w:val="uk-UA"/>
        </w:rPr>
        <w:t>Значна частина вимог діючих Правил застаріла або має загальний характер</w:t>
      </w:r>
      <w:r w:rsidR="007D1D7D" w:rsidRPr="00987AF5">
        <w:rPr>
          <w:sz w:val="28"/>
          <w:szCs w:val="28"/>
          <w:shd w:val="clear" w:color="auto" w:fill="FFFFFF"/>
          <w:lang w:val="uk-UA"/>
        </w:rPr>
        <w:t>,</w:t>
      </w:r>
      <w:r w:rsidRPr="00987AF5">
        <w:rPr>
          <w:sz w:val="28"/>
          <w:szCs w:val="28"/>
          <w:shd w:val="clear" w:color="auto" w:fill="FFFFFF"/>
          <w:lang w:val="uk-UA"/>
        </w:rPr>
        <w:t xml:space="preserve"> що не дає можливості суб</w:t>
      </w:r>
      <w:r w:rsidRPr="00D856EF">
        <w:rPr>
          <w:sz w:val="28"/>
          <w:szCs w:val="28"/>
          <w:shd w:val="clear" w:color="auto" w:fill="FFFFFF"/>
          <w:lang w:val="uk-UA"/>
        </w:rPr>
        <w:t>’</w:t>
      </w:r>
      <w:r w:rsidRPr="00987AF5">
        <w:rPr>
          <w:sz w:val="28"/>
          <w:szCs w:val="28"/>
          <w:shd w:val="clear" w:color="auto" w:fill="FFFFFF"/>
          <w:lang w:val="uk-UA"/>
        </w:rPr>
        <w:t xml:space="preserve">єктам </w:t>
      </w:r>
      <w:r w:rsidR="00410A2B" w:rsidRPr="00987AF5">
        <w:rPr>
          <w:sz w:val="28"/>
          <w:szCs w:val="28"/>
          <w:shd w:val="clear" w:color="auto" w:fill="FFFFFF"/>
          <w:lang w:val="uk-UA"/>
        </w:rPr>
        <w:t xml:space="preserve">відносин </w:t>
      </w:r>
      <w:r w:rsidRPr="00987AF5">
        <w:rPr>
          <w:sz w:val="28"/>
          <w:szCs w:val="28"/>
          <w:shd w:val="clear" w:color="auto" w:fill="FFFFFF"/>
          <w:lang w:val="uk-UA"/>
        </w:rPr>
        <w:t>у сфері теплопостачання скласти повний перелік необхідних заходів для підготовки до ОП, а центральн</w:t>
      </w:r>
      <w:r w:rsidR="007D1D7D" w:rsidRPr="00987AF5">
        <w:rPr>
          <w:sz w:val="28"/>
          <w:szCs w:val="28"/>
          <w:shd w:val="clear" w:color="auto" w:fill="FFFFFF"/>
          <w:lang w:val="uk-UA"/>
        </w:rPr>
        <w:t>ому</w:t>
      </w:r>
      <w:r w:rsidRPr="00987AF5">
        <w:rPr>
          <w:sz w:val="28"/>
          <w:szCs w:val="28"/>
          <w:shd w:val="clear" w:color="auto" w:fill="FFFFFF"/>
          <w:lang w:val="uk-UA"/>
        </w:rPr>
        <w:t xml:space="preserve"> орган</w:t>
      </w:r>
      <w:r w:rsidR="007D1D7D" w:rsidRPr="00987AF5">
        <w:rPr>
          <w:sz w:val="28"/>
          <w:szCs w:val="28"/>
          <w:shd w:val="clear" w:color="auto" w:fill="FFFFFF"/>
          <w:lang w:val="uk-UA"/>
        </w:rPr>
        <w:t>у</w:t>
      </w:r>
      <w:r w:rsidRPr="00987AF5">
        <w:rPr>
          <w:sz w:val="28"/>
          <w:szCs w:val="28"/>
          <w:shd w:val="clear" w:color="auto" w:fill="FFFFFF"/>
          <w:lang w:val="uk-UA"/>
        </w:rPr>
        <w:t xml:space="preserve"> виконавчої влади</w:t>
      </w:r>
      <w:r w:rsidR="007D1D7D" w:rsidRPr="00987AF5">
        <w:rPr>
          <w:sz w:val="28"/>
          <w:szCs w:val="28"/>
          <w:shd w:val="clear" w:color="auto" w:fill="FFFFFF"/>
          <w:lang w:val="uk-UA"/>
        </w:rPr>
        <w:t>,</w:t>
      </w:r>
      <w:r w:rsidRPr="00987AF5">
        <w:rPr>
          <w:sz w:val="28"/>
          <w:szCs w:val="28"/>
          <w:shd w:val="clear" w:color="auto" w:fill="FFFFFF"/>
          <w:lang w:val="uk-UA"/>
        </w:rPr>
        <w:t xml:space="preserve"> що </w:t>
      </w:r>
      <w:r w:rsidR="007D1D7D" w:rsidRPr="00987AF5">
        <w:rPr>
          <w:sz w:val="28"/>
          <w:szCs w:val="28"/>
          <w:shd w:val="clear" w:color="auto" w:fill="FFFFFF"/>
          <w:lang w:val="uk-UA"/>
        </w:rPr>
        <w:t xml:space="preserve">реалізує </w:t>
      </w:r>
      <w:r w:rsidRPr="00987AF5">
        <w:rPr>
          <w:sz w:val="28"/>
          <w:szCs w:val="28"/>
          <w:shd w:val="clear" w:color="auto" w:fill="FFFFFF"/>
          <w:lang w:val="uk-UA"/>
        </w:rPr>
        <w:t>державну політику у сфері державного нагляду (контролю) в галузі теплопостачання</w:t>
      </w:r>
      <w:r w:rsidR="008C1674" w:rsidRPr="00987AF5">
        <w:rPr>
          <w:sz w:val="28"/>
          <w:szCs w:val="28"/>
          <w:shd w:val="clear" w:color="auto" w:fill="FFFFFF"/>
          <w:lang w:val="uk-UA"/>
        </w:rPr>
        <w:t xml:space="preserve"> (далі - ЦОВВ)</w:t>
      </w:r>
      <w:r w:rsidR="00410A2B" w:rsidRPr="00987AF5">
        <w:rPr>
          <w:sz w:val="28"/>
          <w:szCs w:val="28"/>
          <w:shd w:val="clear" w:color="auto" w:fill="FFFFFF"/>
          <w:lang w:val="uk-UA"/>
        </w:rPr>
        <w:t>,</w:t>
      </w:r>
      <w:r w:rsidRPr="00987AF5">
        <w:rPr>
          <w:sz w:val="28"/>
          <w:szCs w:val="28"/>
          <w:shd w:val="clear" w:color="auto" w:fill="FFFFFF"/>
          <w:lang w:val="uk-UA"/>
        </w:rPr>
        <w:t xml:space="preserve"> висувати вимоги щодо коригування переліку цих заходів.  </w:t>
      </w:r>
    </w:p>
    <w:p w:rsidR="00470ED5" w:rsidRPr="00987AF5" w:rsidRDefault="00736364" w:rsidP="00C076AA">
      <w:pPr>
        <w:pStyle w:val="HTML"/>
        <w:shd w:val="clear" w:color="auto" w:fill="FFFFFF"/>
        <w:spacing w:before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Правила мають посилання </w:t>
      </w:r>
      <w:r w:rsidR="009F640C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CC79EE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повноваження</w:t>
      </w:r>
      <w:r w:rsidR="00A267CE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267CE" w:rsidRPr="00987AF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Державної інспекції з експлуатації електричних станцій і мереж, </w:t>
      </w:r>
      <w:bookmarkStart w:id="3" w:name="o265"/>
      <w:bookmarkEnd w:id="3"/>
      <w:r w:rsidR="00A267CE" w:rsidRPr="00987AF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Державної інспекції з енергетичного нагляду за режимами споживання електричної та теплової енергії, </w:t>
      </w:r>
      <w:bookmarkStart w:id="4" w:name="o266"/>
      <w:bookmarkEnd w:id="4"/>
      <w:r w:rsidR="00A267CE" w:rsidRPr="00987AF5">
        <w:rPr>
          <w:rFonts w:ascii="Times New Roman" w:hAnsi="Times New Roman" w:cs="Times New Roman"/>
          <w:sz w:val="28"/>
          <w:szCs w:val="28"/>
          <w:lang w:val="uk-UA" w:eastAsia="uk-UA"/>
        </w:rPr>
        <w:t>Державної житлово-комунальної інспекції</w:t>
      </w:r>
      <w:r w:rsidR="00C9615F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CC79EE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 яких втратили чинність</w:t>
      </w:r>
      <w:r w:rsidR="00470ED5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F640C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70ED5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</w:t>
      </w:r>
      <w:r w:rsidR="009F640C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вводить в оману </w:t>
      </w:r>
      <w:r w:rsidR="00AF621C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суб’єкти</w:t>
      </w:r>
      <w:r w:rsidR="009F640C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відносин у сфері теплопостачання та дозволяє ухилятися від </w:t>
      </w:r>
      <w:r w:rsidR="00D813F2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звітування </w:t>
      </w:r>
      <w:r w:rsidR="007F4A0D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D813F2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надання інформації про</w:t>
      </w:r>
      <w:r w:rsidR="00470ED5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813F2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підготовк</w:t>
      </w:r>
      <w:r w:rsidR="00470ED5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D813F2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ОП</w:t>
      </w:r>
      <w:r w:rsidR="00470ED5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уникати контролю з боку </w:t>
      </w:r>
      <w:r w:rsidR="00AF621C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ЦОВВ</w:t>
      </w:r>
      <w:r w:rsidR="00613F92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70ED5" w:rsidRPr="00987A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70ED5" w:rsidRPr="00987AF5" w:rsidRDefault="00C86A9F" w:rsidP="00A26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8"/>
          <w:szCs w:val="28"/>
          <w:shd w:val="clear" w:color="auto" w:fill="FFFFFF"/>
          <w:lang w:val="uk-UA"/>
        </w:rPr>
      </w:pPr>
      <w:r w:rsidRPr="00987AF5">
        <w:rPr>
          <w:sz w:val="28"/>
          <w:szCs w:val="28"/>
          <w:shd w:val="clear" w:color="auto" w:fill="FFFFFF"/>
          <w:lang w:val="uk-UA"/>
        </w:rPr>
        <w:t>Таким чином, діючі Правила не дають можливості провести планування, проведення</w:t>
      </w:r>
      <w:r w:rsidR="007F4A0D" w:rsidRPr="00987AF5">
        <w:rPr>
          <w:sz w:val="28"/>
          <w:szCs w:val="28"/>
          <w:shd w:val="clear" w:color="auto" w:fill="FFFFFF"/>
          <w:lang w:val="uk-UA"/>
        </w:rPr>
        <w:t>, звітування</w:t>
      </w:r>
      <w:r w:rsidRPr="00987AF5">
        <w:rPr>
          <w:sz w:val="28"/>
          <w:szCs w:val="28"/>
          <w:shd w:val="clear" w:color="auto" w:fill="FFFFFF"/>
          <w:lang w:val="uk-UA"/>
        </w:rPr>
        <w:t xml:space="preserve"> та контроль стану підготовки до опалювального періоду в обсягах</w:t>
      </w:r>
      <w:r w:rsidR="00613F92" w:rsidRPr="00987AF5">
        <w:rPr>
          <w:sz w:val="28"/>
          <w:szCs w:val="28"/>
          <w:shd w:val="clear" w:color="auto" w:fill="FFFFFF"/>
          <w:lang w:val="uk-UA"/>
        </w:rPr>
        <w:t>,</w:t>
      </w:r>
      <w:r w:rsidRPr="00987AF5">
        <w:rPr>
          <w:sz w:val="28"/>
          <w:szCs w:val="28"/>
          <w:shd w:val="clear" w:color="auto" w:fill="FFFFFF"/>
          <w:lang w:val="uk-UA"/>
        </w:rPr>
        <w:t xml:space="preserve"> необхідних для сталої роботи обладнання суб</w:t>
      </w:r>
      <w:r w:rsidRPr="00D856EF">
        <w:rPr>
          <w:sz w:val="28"/>
          <w:szCs w:val="28"/>
          <w:shd w:val="clear" w:color="auto" w:fill="FFFFFF"/>
          <w:lang w:val="uk-UA"/>
        </w:rPr>
        <w:t>’</w:t>
      </w:r>
      <w:r w:rsidRPr="00987AF5">
        <w:rPr>
          <w:sz w:val="28"/>
          <w:szCs w:val="28"/>
          <w:shd w:val="clear" w:color="auto" w:fill="FFFFFF"/>
          <w:lang w:val="uk-UA"/>
        </w:rPr>
        <w:t xml:space="preserve">єктів відносин у сфері теплопостачання протягом ОП та послаблюють роль держави в цьому процесі. </w:t>
      </w:r>
    </w:p>
    <w:p w:rsidR="00E6518B" w:rsidRPr="00F50CCB" w:rsidRDefault="00A26BC5" w:rsidP="00A267CE">
      <w:pPr>
        <w:spacing w:before="0"/>
        <w:rPr>
          <w:sz w:val="28"/>
          <w:szCs w:val="28"/>
          <w:lang w:val="uk-UA"/>
        </w:rPr>
      </w:pPr>
      <w:r w:rsidRPr="00613F92">
        <w:rPr>
          <w:sz w:val="28"/>
          <w:szCs w:val="28"/>
          <w:lang w:val="uk-UA"/>
        </w:rPr>
        <w:t xml:space="preserve">Тому з </w:t>
      </w:r>
      <w:r w:rsidR="006F36E6" w:rsidRPr="00613F92">
        <w:rPr>
          <w:sz w:val="28"/>
          <w:szCs w:val="28"/>
          <w:shd w:val="clear" w:color="auto" w:fill="FFFFFF"/>
          <w:lang w:val="uk-UA"/>
        </w:rPr>
        <w:t xml:space="preserve"> метою запровадження єдиного підходу щодо </w:t>
      </w:r>
      <w:r w:rsidR="006F36E6" w:rsidRPr="00F50CCB">
        <w:rPr>
          <w:sz w:val="28"/>
          <w:szCs w:val="28"/>
          <w:lang w:val="uk-UA"/>
        </w:rPr>
        <w:t>підготовки та оцінки готовності</w:t>
      </w:r>
      <w:r w:rsidR="006F36E6" w:rsidRPr="00F50CCB">
        <w:rPr>
          <w:sz w:val="28"/>
          <w:szCs w:val="28"/>
          <w:shd w:val="clear" w:color="auto" w:fill="FFFFFF"/>
          <w:lang w:val="uk-UA"/>
        </w:rPr>
        <w:t xml:space="preserve"> </w:t>
      </w:r>
      <w:r w:rsidR="006F36E6" w:rsidRPr="00104EC5">
        <w:rPr>
          <w:sz w:val="28"/>
          <w:szCs w:val="28"/>
          <w:lang w:val="uk-UA"/>
        </w:rPr>
        <w:t>об’єктів у сфері теплопостачання виникла необхідність</w:t>
      </w:r>
      <w:r w:rsidR="007F4A0D" w:rsidRPr="00104EC5">
        <w:rPr>
          <w:sz w:val="28"/>
          <w:szCs w:val="28"/>
          <w:lang w:val="uk-UA"/>
        </w:rPr>
        <w:t xml:space="preserve"> </w:t>
      </w:r>
      <w:r w:rsidR="006F36E6" w:rsidRPr="00104EC5">
        <w:rPr>
          <w:sz w:val="28"/>
          <w:szCs w:val="28"/>
          <w:lang w:val="uk-UA"/>
        </w:rPr>
        <w:t xml:space="preserve">перегляду </w:t>
      </w:r>
      <w:r w:rsidR="007F4A0D" w:rsidRPr="00987AF5">
        <w:rPr>
          <w:sz w:val="28"/>
          <w:szCs w:val="28"/>
          <w:lang w:val="uk-UA"/>
        </w:rPr>
        <w:t>механізму реалізації</w:t>
      </w:r>
      <w:r w:rsidR="00736364" w:rsidRPr="00613F92">
        <w:rPr>
          <w:sz w:val="28"/>
          <w:szCs w:val="28"/>
          <w:lang w:val="uk-UA"/>
        </w:rPr>
        <w:t xml:space="preserve"> </w:t>
      </w:r>
      <w:r w:rsidR="006F36E6" w:rsidRPr="00613F92">
        <w:rPr>
          <w:sz w:val="28"/>
          <w:szCs w:val="28"/>
          <w:lang w:val="uk-UA"/>
        </w:rPr>
        <w:t xml:space="preserve">державної політики щодо здійснення нагляду (контролю) за станом підготовки та оцінкою готовності </w:t>
      </w:r>
      <w:r w:rsidR="006F36E6" w:rsidRPr="00613F92">
        <w:rPr>
          <w:sz w:val="28"/>
          <w:szCs w:val="28"/>
          <w:lang w:val="uk-UA" w:eastAsia="uk-UA"/>
        </w:rPr>
        <w:t>теплових, тепловикористальних</w:t>
      </w:r>
      <w:r w:rsidR="006F36E6" w:rsidRPr="00F50CCB">
        <w:rPr>
          <w:sz w:val="28"/>
          <w:szCs w:val="28"/>
          <w:lang w:val="uk-UA" w:eastAsia="uk-UA"/>
        </w:rPr>
        <w:t xml:space="preserve"> установок і мереж, енергетичного обладнання суб’єктів відносин у сфері теплопостачання до роботи в ОП</w:t>
      </w:r>
      <w:r w:rsidR="006F36E6" w:rsidRPr="00F50CCB">
        <w:rPr>
          <w:sz w:val="28"/>
          <w:szCs w:val="28"/>
          <w:lang w:val="uk-UA"/>
        </w:rPr>
        <w:t xml:space="preserve"> </w:t>
      </w:r>
      <w:r w:rsidR="006F36E6" w:rsidRPr="00987AF5">
        <w:rPr>
          <w:sz w:val="28"/>
          <w:szCs w:val="28"/>
          <w:lang w:val="uk-UA"/>
        </w:rPr>
        <w:t>через видання нового</w:t>
      </w:r>
      <w:r w:rsidR="006F36E6" w:rsidRPr="00613F92">
        <w:rPr>
          <w:sz w:val="28"/>
          <w:szCs w:val="28"/>
          <w:lang w:val="uk-UA"/>
        </w:rPr>
        <w:t xml:space="preserve"> нормативно-правового акт</w:t>
      </w:r>
      <w:r w:rsidRPr="00613F92">
        <w:rPr>
          <w:sz w:val="28"/>
          <w:szCs w:val="28"/>
          <w:lang w:val="uk-UA"/>
        </w:rPr>
        <w:t>а</w:t>
      </w:r>
      <w:r w:rsidR="006F36E6" w:rsidRPr="00613F92">
        <w:rPr>
          <w:sz w:val="28"/>
          <w:szCs w:val="28"/>
          <w:lang w:val="uk-UA"/>
        </w:rPr>
        <w:t xml:space="preserve">. </w:t>
      </w:r>
    </w:p>
    <w:p w:rsidR="00176CF3" w:rsidRPr="00EC0706" w:rsidRDefault="00E004FF" w:rsidP="00D32FB0">
      <w:pPr>
        <w:pStyle w:val="a9"/>
        <w:spacing w:before="0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07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Основні групи (підгрупи), </w:t>
      </w:r>
      <w:r w:rsidR="00635014" w:rsidRPr="00EC0706">
        <w:rPr>
          <w:rFonts w:ascii="Times New Roman" w:hAnsi="Times New Roman" w:cs="Times New Roman"/>
          <w:bCs/>
          <w:sz w:val="28"/>
          <w:szCs w:val="28"/>
          <w:lang w:val="uk-UA"/>
        </w:rPr>
        <w:t>на які проблема справляє вплив: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6"/>
        <w:gridCol w:w="5039"/>
        <w:gridCol w:w="2017"/>
      </w:tblGrid>
      <w:tr w:rsidR="00E004FF" w:rsidRPr="00EC0706" w:rsidTr="00A84D71">
        <w:trPr>
          <w:cantSplit/>
          <w:jc w:val="center"/>
        </w:trPr>
        <w:tc>
          <w:tcPr>
            <w:tcW w:w="2186" w:type="dxa"/>
            <w:vAlign w:val="center"/>
          </w:tcPr>
          <w:p w:rsidR="00E004FF" w:rsidRPr="00EC0706" w:rsidRDefault="00E004FF" w:rsidP="00D32FB0">
            <w:pPr>
              <w:widowControl w:val="0"/>
              <w:autoSpaceDE w:val="0"/>
              <w:autoSpaceDN w:val="0"/>
              <w:adjustRightInd w:val="0"/>
              <w:spacing w:before="0"/>
              <w:ind w:left="-83" w:firstLine="83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bCs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5039" w:type="dxa"/>
            <w:vAlign w:val="center"/>
          </w:tcPr>
          <w:p w:rsidR="00E004FF" w:rsidRPr="00EC0706" w:rsidRDefault="00E004FF" w:rsidP="00D32F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17" w:type="dxa"/>
            <w:vAlign w:val="center"/>
          </w:tcPr>
          <w:p w:rsidR="00E004FF" w:rsidRPr="00EC0706" w:rsidRDefault="00E004FF" w:rsidP="00D32FB0">
            <w:pPr>
              <w:widowControl w:val="0"/>
              <w:autoSpaceDE w:val="0"/>
              <w:autoSpaceDN w:val="0"/>
              <w:adjustRightInd w:val="0"/>
              <w:spacing w:before="0"/>
              <w:ind w:firstLine="783"/>
              <w:rPr>
                <w:sz w:val="28"/>
                <w:szCs w:val="28"/>
                <w:lang w:val="uk-UA"/>
              </w:rPr>
            </w:pPr>
            <w:r w:rsidRPr="00EC0706">
              <w:rPr>
                <w:bCs/>
                <w:sz w:val="28"/>
                <w:szCs w:val="28"/>
                <w:lang w:val="uk-UA"/>
              </w:rPr>
              <w:t>Ні</w:t>
            </w:r>
          </w:p>
        </w:tc>
      </w:tr>
      <w:tr w:rsidR="00D32FB0" w:rsidRPr="00EC0706" w:rsidTr="0063460C">
        <w:trPr>
          <w:cantSplit/>
          <w:trHeight w:val="65"/>
          <w:jc w:val="center"/>
        </w:trPr>
        <w:tc>
          <w:tcPr>
            <w:tcW w:w="2186" w:type="dxa"/>
          </w:tcPr>
          <w:p w:rsidR="00E004FF" w:rsidRPr="00EC0706" w:rsidRDefault="00E004FF" w:rsidP="003E4449">
            <w:pPr>
              <w:widowControl w:val="0"/>
              <w:autoSpaceDE w:val="0"/>
              <w:autoSpaceDN w:val="0"/>
              <w:adjustRightInd w:val="0"/>
              <w:spacing w:before="0"/>
              <w:ind w:firstLine="44"/>
              <w:jc w:val="left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5039" w:type="dxa"/>
            <w:vAlign w:val="center"/>
          </w:tcPr>
          <w:p w:rsidR="00E004FF" w:rsidRPr="00EC0706" w:rsidRDefault="00E004FF" w:rsidP="00D32FB0">
            <w:pPr>
              <w:widowControl w:val="0"/>
              <w:autoSpaceDE w:val="0"/>
              <w:autoSpaceDN w:val="0"/>
              <w:adjustRightInd w:val="0"/>
              <w:spacing w:before="0"/>
              <w:ind w:firstLine="11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017" w:type="dxa"/>
            <w:vAlign w:val="center"/>
          </w:tcPr>
          <w:p w:rsidR="00E004FF" w:rsidRPr="00EC0706" w:rsidRDefault="00E004FF" w:rsidP="00D32F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sym w:font="Symbol" w:char="F02D"/>
            </w:r>
          </w:p>
        </w:tc>
      </w:tr>
      <w:tr w:rsidR="00D32FB0" w:rsidRPr="00EC0706" w:rsidTr="0063460C">
        <w:trPr>
          <w:cantSplit/>
          <w:jc w:val="center"/>
        </w:trPr>
        <w:tc>
          <w:tcPr>
            <w:tcW w:w="2186" w:type="dxa"/>
          </w:tcPr>
          <w:p w:rsidR="00E004FF" w:rsidRPr="00EC0706" w:rsidRDefault="00E004FF" w:rsidP="003E4449">
            <w:pPr>
              <w:widowControl w:val="0"/>
              <w:autoSpaceDE w:val="0"/>
              <w:autoSpaceDN w:val="0"/>
              <w:adjustRightInd w:val="0"/>
              <w:spacing w:before="0"/>
              <w:ind w:firstLine="44"/>
              <w:jc w:val="left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lastRenderedPageBreak/>
              <w:t>Держава</w:t>
            </w:r>
          </w:p>
        </w:tc>
        <w:tc>
          <w:tcPr>
            <w:tcW w:w="5039" w:type="dxa"/>
            <w:vAlign w:val="center"/>
          </w:tcPr>
          <w:p w:rsidR="00E004FF" w:rsidRPr="00EC0706" w:rsidRDefault="00E004FF" w:rsidP="00D32FB0">
            <w:pPr>
              <w:pStyle w:val="2"/>
              <w:spacing w:before="0" w:after="0" w:line="240" w:lineRule="auto"/>
              <w:ind w:left="0" w:firstLine="0"/>
              <w:jc w:val="center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EC0706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17" w:type="dxa"/>
            <w:vAlign w:val="center"/>
          </w:tcPr>
          <w:p w:rsidR="00E004FF" w:rsidRPr="00EC0706" w:rsidRDefault="00E004FF" w:rsidP="00D32FB0">
            <w:pPr>
              <w:spacing w:before="0"/>
              <w:ind w:firstLine="34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EC0706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sym w:font="Symbol" w:char="F02D"/>
            </w:r>
          </w:p>
        </w:tc>
      </w:tr>
      <w:tr w:rsidR="00D32FB0" w:rsidRPr="00EC0706" w:rsidTr="0063460C">
        <w:trPr>
          <w:cantSplit/>
          <w:jc w:val="center"/>
        </w:trPr>
        <w:tc>
          <w:tcPr>
            <w:tcW w:w="2186" w:type="dxa"/>
          </w:tcPr>
          <w:p w:rsidR="00E004FF" w:rsidRPr="00EC0706" w:rsidRDefault="00E004FF" w:rsidP="00D32FB0">
            <w:pPr>
              <w:widowControl w:val="0"/>
              <w:autoSpaceDE w:val="0"/>
              <w:autoSpaceDN w:val="0"/>
              <w:adjustRightInd w:val="0"/>
              <w:spacing w:before="0"/>
              <w:ind w:firstLine="59"/>
              <w:jc w:val="left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5039" w:type="dxa"/>
            <w:vAlign w:val="center"/>
          </w:tcPr>
          <w:p w:rsidR="00E004FF" w:rsidRPr="00EC0706" w:rsidRDefault="00E004FF" w:rsidP="00D32FB0">
            <w:pPr>
              <w:spacing w:before="0"/>
              <w:ind w:firstLine="0"/>
              <w:jc w:val="center"/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EC0706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017" w:type="dxa"/>
            <w:vAlign w:val="center"/>
          </w:tcPr>
          <w:p w:rsidR="00E004FF" w:rsidRPr="00EC0706" w:rsidRDefault="00E004FF" w:rsidP="00D32FB0">
            <w:pPr>
              <w:spacing w:before="0"/>
              <w:ind w:firstLine="34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EC0706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sym w:font="Symbol" w:char="F02D"/>
            </w:r>
          </w:p>
        </w:tc>
      </w:tr>
      <w:tr w:rsidR="00D32FB0" w:rsidRPr="00EC0706" w:rsidTr="0063460C">
        <w:trPr>
          <w:cantSplit/>
          <w:jc w:val="center"/>
        </w:trPr>
        <w:tc>
          <w:tcPr>
            <w:tcW w:w="2186" w:type="dxa"/>
          </w:tcPr>
          <w:p w:rsidR="00E004FF" w:rsidRPr="00EC0706" w:rsidRDefault="00E004FF" w:rsidP="00D32F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5039" w:type="dxa"/>
            <w:vAlign w:val="center"/>
          </w:tcPr>
          <w:p w:rsidR="00E004FF" w:rsidRPr="00EC0706" w:rsidRDefault="006F1935" w:rsidP="00D32FB0">
            <w:pPr>
              <w:spacing w:before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+</w:t>
            </w:r>
          </w:p>
        </w:tc>
        <w:tc>
          <w:tcPr>
            <w:tcW w:w="2017" w:type="dxa"/>
            <w:vAlign w:val="center"/>
          </w:tcPr>
          <w:p w:rsidR="00E004FF" w:rsidRPr="00EC0706" w:rsidRDefault="006F1935" w:rsidP="00D32FB0">
            <w:pPr>
              <w:spacing w:before="0"/>
              <w:ind w:firstLine="34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EC0706">
              <w:rPr>
                <w:sz w:val="28"/>
                <w:szCs w:val="28"/>
                <w:lang w:val="uk-UA"/>
              </w:rPr>
              <w:t>–</w:t>
            </w:r>
          </w:p>
        </w:tc>
      </w:tr>
    </w:tbl>
    <w:p w:rsidR="00751AA4" w:rsidRPr="00EC0706" w:rsidRDefault="00751AA4" w:rsidP="00751AA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>За допомогою ринкових механізмів проблема не може бути розв’язана, оскільки питання</w:t>
      </w:r>
      <w:r w:rsidR="00613F92">
        <w:rPr>
          <w:sz w:val="28"/>
          <w:szCs w:val="28"/>
          <w:lang w:val="uk-UA"/>
        </w:rPr>
        <w:t>,</w:t>
      </w:r>
      <w:r w:rsidRPr="00EC0706">
        <w:rPr>
          <w:sz w:val="28"/>
          <w:szCs w:val="28"/>
          <w:lang w:val="uk-UA"/>
        </w:rPr>
        <w:t xml:space="preserve"> пов’язані з діяльністю центрального органу</w:t>
      </w:r>
      <w:r w:rsidR="007D1D7D">
        <w:rPr>
          <w:sz w:val="28"/>
          <w:szCs w:val="28"/>
          <w:lang w:val="uk-UA"/>
        </w:rPr>
        <w:t xml:space="preserve"> виконавчої влади</w:t>
      </w:r>
      <w:r w:rsidRPr="00EC0706">
        <w:rPr>
          <w:sz w:val="28"/>
          <w:szCs w:val="28"/>
          <w:lang w:val="uk-UA"/>
        </w:rPr>
        <w:t>, що р</w:t>
      </w:r>
      <w:r w:rsidRPr="00EC0706">
        <w:rPr>
          <w:sz w:val="28"/>
          <w:szCs w:val="28"/>
          <w:lang w:val="uk-UA" w:eastAsia="uk-UA"/>
        </w:rPr>
        <w:t xml:space="preserve">еалізує державну політику у сфері нагляду (контролю) у </w:t>
      </w:r>
      <w:r w:rsidR="00613F92">
        <w:rPr>
          <w:sz w:val="28"/>
          <w:szCs w:val="28"/>
          <w:lang w:val="uk-UA" w:eastAsia="uk-UA"/>
        </w:rPr>
        <w:t>галузі</w:t>
      </w:r>
      <w:r w:rsidR="00613F92" w:rsidRPr="00EC0706">
        <w:rPr>
          <w:sz w:val="28"/>
          <w:szCs w:val="28"/>
          <w:lang w:val="uk-UA" w:eastAsia="uk-UA"/>
        </w:rPr>
        <w:t xml:space="preserve"> </w:t>
      </w:r>
      <w:r w:rsidRPr="00EC0706">
        <w:rPr>
          <w:sz w:val="28"/>
          <w:szCs w:val="28"/>
          <w:lang w:val="uk-UA" w:eastAsia="uk-UA"/>
        </w:rPr>
        <w:t>теплопостачання</w:t>
      </w:r>
      <w:r w:rsidR="00613F92">
        <w:rPr>
          <w:sz w:val="28"/>
          <w:szCs w:val="28"/>
          <w:lang w:val="uk-UA" w:eastAsia="uk-UA"/>
        </w:rPr>
        <w:t>,</w:t>
      </w:r>
      <w:r w:rsidRPr="00EC0706">
        <w:rPr>
          <w:sz w:val="28"/>
          <w:szCs w:val="28"/>
          <w:lang w:val="uk-UA" w:eastAsia="uk-UA"/>
        </w:rPr>
        <w:t xml:space="preserve"> </w:t>
      </w:r>
      <w:r w:rsidRPr="00EC0706">
        <w:rPr>
          <w:sz w:val="28"/>
          <w:szCs w:val="28"/>
          <w:lang w:val="uk-UA"/>
        </w:rPr>
        <w:t>може бути врегульоване лише шляхом прийняття відповідного нормативно-правового</w:t>
      </w:r>
      <w:r w:rsidR="00FD0830">
        <w:rPr>
          <w:sz w:val="28"/>
          <w:szCs w:val="28"/>
          <w:lang w:val="uk-UA"/>
        </w:rPr>
        <w:t xml:space="preserve"> акту</w:t>
      </w:r>
      <w:r w:rsidRPr="00EC0706">
        <w:rPr>
          <w:sz w:val="28"/>
          <w:szCs w:val="28"/>
          <w:lang w:val="uk-UA"/>
        </w:rPr>
        <w:t xml:space="preserve">, </w:t>
      </w:r>
      <w:r w:rsidR="004F3A0E" w:rsidRPr="00EC0706">
        <w:rPr>
          <w:sz w:val="28"/>
          <w:szCs w:val="28"/>
          <w:lang w:val="uk-UA"/>
        </w:rPr>
        <w:t>і</w:t>
      </w:r>
      <w:r w:rsidRPr="00EC0706">
        <w:rPr>
          <w:sz w:val="28"/>
          <w:szCs w:val="28"/>
          <w:lang w:val="uk-UA"/>
        </w:rPr>
        <w:t xml:space="preserve"> вимагає відповідно до Закону України </w:t>
      </w:r>
      <w:r w:rsidRPr="00EC0706">
        <w:rPr>
          <w:spacing w:val="-4"/>
          <w:sz w:val="28"/>
          <w:szCs w:val="28"/>
          <w:lang w:val="uk-UA"/>
        </w:rPr>
        <w:t>«Про основні засади державного нагляду (контролю) у сфері господарської діяльності» законодавчого врегулювання</w:t>
      </w:r>
      <w:r w:rsidRPr="00EC0706">
        <w:rPr>
          <w:sz w:val="28"/>
          <w:szCs w:val="28"/>
          <w:lang w:val="uk-UA"/>
        </w:rPr>
        <w:t>.</w:t>
      </w:r>
    </w:p>
    <w:p w:rsidR="008A5F31" w:rsidRPr="00EC0706" w:rsidRDefault="008A5F31" w:rsidP="008A5F31">
      <w:pPr>
        <w:spacing w:before="0"/>
        <w:rPr>
          <w:b/>
          <w:bCs/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>Крім того, діючі регуляторні акти також не можуть вирішити зазначену проблему, оскільки не враховують норм законодавства України.</w:t>
      </w:r>
    </w:p>
    <w:p w:rsidR="008A5F31" w:rsidRPr="00EC0706" w:rsidRDefault="008A5F31" w:rsidP="008A5F31">
      <w:pPr>
        <w:spacing w:before="0"/>
        <w:ind w:firstLine="0"/>
        <w:rPr>
          <w:b/>
          <w:bCs/>
          <w:sz w:val="28"/>
          <w:szCs w:val="28"/>
          <w:lang w:val="uk-UA"/>
        </w:rPr>
      </w:pPr>
    </w:p>
    <w:p w:rsidR="003219E7" w:rsidRPr="00EC0706" w:rsidRDefault="00B34DE1" w:rsidP="00D32FB0">
      <w:pPr>
        <w:spacing w:before="0"/>
        <w:ind w:left="567" w:firstLine="0"/>
        <w:rPr>
          <w:b/>
          <w:bCs/>
          <w:sz w:val="28"/>
          <w:szCs w:val="28"/>
          <w:lang w:val="uk-UA"/>
        </w:rPr>
      </w:pPr>
      <w:r w:rsidRPr="00EC0706">
        <w:rPr>
          <w:b/>
          <w:bCs/>
          <w:sz w:val="28"/>
          <w:szCs w:val="28"/>
          <w:lang w:val="uk-UA"/>
        </w:rPr>
        <w:t xml:space="preserve">ІІ. </w:t>
      </w:r>
      <w:r w:rsidR="003219E7" w:rsidRPr="00EC0706">
        <w:rPr>
          <w:b/>
          <w:bCs/>
          <w:sz w:val="28"/>
          <w:szCs w:val="28"/>
          <w:lang w:val="uk-UA"/>
        </w:rPr>
        <w:t>Цілі державного регулювання</w:t>
      </w:r>
    </w:p>
    <w:p w:rsidR="00EE75DB" w:rsidRDefault="002619C1" w:rsidP="00EC0706">
      <w:pPr>
        <w:pStyle w:val="ad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C0706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EE75D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C0706">
        <w:rPr>
          <w:rFonts w:ascii="Times New Roman" w:hAnsi="Times New Roman" w:cs="Times New Roman"/>
          <w:sz w:val="28"/>
          <w:szCs w:val="28"/>
          <w:lang w:val="uk-UA"/>
        </w:rPr>
        <w:t xml:space="preserve"> ціл</w:t>
      </w:r>
      <w:r w:rsidR="00BF14F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E75DB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регулювання є</w:t>
      </w:r>
      <w:r w:rsidR="00BF1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4FD" w:rsidRPr="00BF14FD">
        <w:rPr>
          <w:rFonts w:ascii="Times New Roman" w:hAnsi="Times New Roman" w:cs="Times New Roman"/>
          <w:sz w:val="28"/>
          <w:szCs w:val="28"/>
          <w:lang w:val="uk-UA"/>
        </w:rPr>
        <w:t>забезпечення надійного</w:t>
      </w:r>
      <w:r w:rsidR="00EE75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14FD" w:rsidRPr="00BF14FD">
        <w:rPr>
          <w:rFonts w:ascii="Times New Roman" w:hAnsi="Times New Roman" w:cs="Times New Roman"/>
          <w:sz w:val="28"/>
          <w:szCs w:val="28"/>
          <w:lang w:val="uk-UA"/>
        </w:rPr>
        <w:t>безперебійного (стабільного)</w:t>
      </w:r>
      <w:r w:rsidR="00EE75DB">
        <w:rPr>
          <w:rFonts w:ascii="Times New Roman" w:hAnsi="Times New Roman" w:cs="Times New Roman"/>
          <w:sz w:val="28"/>
          <w:szCs w:val="28"/>
          <w:lang w:val="uk-UA"/>
        </w:rPr>
        <w:t xml:space="preserve"> та якісного </w:t>
      </w:r>
      <w:r w:rsidR="00BF14FD" w:rsidRPr="00BF14FD">
        <w:rPr>
          <w:rFonts w:ascii="Times New Roman" w:hAnsi="Times New Roman" w:cs="Times New Roman"/>
          <w:sz w:val="28"/>
          <w:szCs w:val="28"/>
          <w:lang w:val="uk-UA"/>
        </w:rPr>
        <w:t xml:space="preserve">постачання споживачів тепловою енергією та </w:t>
      </w:r>
      <w:r w:rsidR="00BF14FD" w:rsidRPr="00BF14F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надійно</w:t>
      </w:r>
      <w:r w:rsidR="00EE75D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="00BF14FD" w:rsidRPr="00BF1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функціонуванн</w:t>
      </w:r>
      <w:r w:rsidR="00EE75DB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="00BF14FD" w:rsidRPr="00BF14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 теплопостачання протягом опалювального періоду</w:t>
      </w:r>
      <w:r w:rsidR="00EE75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шляхом </w:t>
      </w:r>
      <w:r w:rsidRPr="00EC0706">
        <w:rPr>
          <w:rFonts w:ascii="Times New Roman" w:hAnsi="Times New Roman" w:cs="Times New Roman"/>
          <w:sz w:val="28"/>
          <w:szCs w:val="28"/>
          <w:lang w:val="uk-UA"/>
        </w:rPr>
        <w:t>правов</w:t>
      </w:r>
      <w:r w:rsidR="00EE75D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C0706">
        <w:rPr>
          <w:rFonts w:ascii="Times New Roman" w:hAnsi="Times New Roman" w:cs="Times New Roman"/>
          <w:sz w:val="28"/>
          <w:szCs w:val="28"/>
          <w:lang w:val="uk-UA"/>
        </w:rPr>
        <w:t xml:space="preserve"> врегулювання</w:t>
      </w:r>
      <w:r w:rsidR="00EE75D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E75DB" w:rsidRDefault="00EE75DB" w:rsidP="00EC0706">
      <w:pPr>
        <w:pStyle w:val="ad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 щодо питань підготовки </w:t>
      </w:r>
      <w:r w:rsidRPr="00EC07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суб'єктів </w:t>
      </w:r>
      <w:r w:rsidRPr="00EC0706">
        <w:rPr>
          <w:rFonts w:ascii="Times New Roman" w:hAnsi="Times New Roman" w:cs="Times New Roman"/>
          <w:sz w:val="28"/>
          <w:szCs w:val="28"/>
          <w:lang w:val="uk-UA"/>
        </w:rPr>
        <w:t xml:space="preserve">відносин у сфері </w:t>
      </w:r>
      <w:r w:rsidRPr="00EC0706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теплопостачання</w:t>
      </w:r>
      <w:r w:rsidRPr="00EC0706" w:rsidDel="00EE7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ОП</w:t>
      </w:r>
      <w:r w:rsidR="00C65C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75DB" w:rsidRDefault="00EE75DB" w:rsidP="00EC0706">
      <w:pPr>
        <w:pStyle w:val="ad"/>
        <w:spacing w:before="0"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EC0706">
        <w:rPr>
          <w:rFonts w:ascii="Times New Roman" w:hAnsi="Times New Roman" w:cs="Times New Roman"/>
          <w:sz w:val="28"/>
          <w:szCs w:val="28"/>
          <w:lang w:val="uk-UA"/>
        </w:rPr>
        <w:t xml:space="preserve">методики </w:t>
      </w:r>
      <w:r w:rsidRPr="00EC070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підтвердження готовності до роботи в ОП для суб’єктів </w:t>
      </w:r>
      <w:r w:rsidRPr="00EC0706">
        <w:rPr>
          <w:rFonts w:ascii="Times New Roman" w:hAnsi="Times New Roman" w:cs="Times New Roman"/>
          <w:sz w:val="28"/>
          <w:szCs w:val="28"/>
          <w:lang w:val="uk-UA"/>
        </w:rPr>
        <w:t xml:space="preserve">відносин у сфері </w:t>
      </w:r>
      <w:r w:rsidRPr="00EC0706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теплопостачання</w:t>
      </w:r>
      <w:r w:rsidR="00C65C65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E85EEC" w:rsidRDefault="008F1FC6" w:rsidP="004F3A0E">
      <w:pPr>
        <w:pStyle w:val="ad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підвищення </w:t>
      </w:r>
      <w:r w:rsidRPr="00EC070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ефективності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центрального органу виконавчої влади, що реалізує державну політику у сфері нагляду </w:t>
      </w:r>
      <w:r w:rsidR="008614F0">
        <w:rPr>
          <w:rFonts w:ascii="Times New Roman" w:hAnsi="Times New Roman" w:cs="Times New Roman"/>
          <w:sz w:val="28"/>
          <w:szCs w:val="28"/>
          <w:lang w:val="uk-UA"/>
        </w:rPr>
        <w:t xml:space="preserve">(контролю) у галузі теплопостачання, зокрема, у частині забезпечення </w:t>
      </w:r>
      <w:r w:rsidR="004F3A0E">
        <w:rPr>
          <w:rFonts w:ascii="Times New Roman" w:hAnsi="Times New Roman" w:cs="Times New Roman"/>
          <w:sz w:val="28"/>
          <w:szCs w:val="28"/>
          <w:lang w:val="uk-UA"/>
        </w:rPr>
        <w:t xml:space="preserve">системного підходу контролю питань підготовки </w:t>
      </w:r>
      <w:r w:rsidR="004F3A0E" w:rsidRPr="0000033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суб'єктів </w:t>
      </w:r>
      <w:r w:rsidR="004F3A0E" w:rsidRPr="0000033D">
        <w:rPr>
          <w:rFonts w:ascii="Times New Roman" w:hAnsi="Times New Roman" w:cs="Times New Roman"/>
          <w:sz w:val="28"/>
          <w:szCs w:val="28"/>
          <w:lang w:val="uk-UA"/>
        </w:rPr>
        <w:t xml:space="preserve">відносин у сфері </w:t>
      </w:r>
      <w:r w:rsidR="004F3A0E" w:rsidRPr="0000033D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теплопостачання</w:t>
      </w:r>
      <w:r w:rsidR="004F3A0E" w:rsidRPr="0000033D" w:rsidDel="00EE7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0E">
        <w:rPr>
          <w:rFonts w:ascii="Times New Roman" w:hAnsi="Times New Roman" w:cs="Times New Roman"/>
          <w:sz w:val="28"/>
          <w:szCs w:val="28"/>
          <w:lang w:val="uk-UA"/>
        </w:rPr>
        <w:t>до ОП.</w:t>
      </w:r>
      <w:r w:rsidR="007F4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3A0E" w:rsidRPr="00EC0706" w:rsidRDefault="007F4A0D" w:rsidP="004F3A0E">
      <w:pPr>
        <w:pStyle w:val="ad"/>
        <w:spacing w:before="0"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EC0706">
        <w:rPr>
          <w:rFonts w:ascii="Times New Roman" w:hAnsi="Times New Roman" w:cs="Times New Roman"/>
          <w:sz w:val="28"/>
          <w:szCs w:val="28"/>
          <w:lang w:val="uk-UA" w:eastAsia="uk-UA"/>
        </w:rPr>
        <w:t>Проєкт наказу Міністерства енергетики України «</w:t>
      </w:r>
      <w:r w:rsidRPr="00EC07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Положення </w:t>
      </w:r>
      <w:r w:rsidRPr="00EC070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про порядок підготовки та оцінки готовності теплових, тепловикористальних установок і мереж, енергетичного обладнання суб’єктів відносин у сфері теплопостачання до роботи в опалювальний період»  (далі – проєкт наказу) </w:t>
      </w:r>
      <w:r w:rsidRPr="00EC070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розроблено відповідно до </w:t>
      </w:r>
      <w:r w:rsidRPr="00EC0706">
        <w:rPr>
          <w:rFonts w:ascii="Times New Roman" w:hAnsi="Times New Roman" w:cs="Times New Roman"/>
          <w:spacing w:val="-4"/>
          <w:sz w:val="28"/>
          <w:szCs w:val="28"/>
          <w:lang w:val="uk-UA"/>
        </w:rPr>
        <w:t>Закону України «Про теплопостачання».</w:t>
      </w:r>
    </w:p>
    <w:p w:rsidR="00E85EEC" w:rsidRPr="00EC0706" w:rsidRDefault="00E85EEC" w:rsidP="00E85EEC">
      <w:pPr>
        <w:spacing w:before="0"/>
        <w:rPr>
          <w:sz w:val="28"/>
          <w:szCs w:val="28"/>
          <w:shd w:val="clear" w:color="auto" w:fill="FFFFFF"/>
          <w:lang w:val="uk-UA"/>
        </w:rPr>
      </w:pPr>
      <w:r w:rsidRPr="00EC0706">
        <w:rPr>
          <w:sz w:val="28"/>
          <w:szCs w:val="28"/>
          <w:lang w:val="uk-UA"/>
        </w:rPr>
        <w:t xml:space="preserve">Проєктом наказу передбачено врегулювання питання </w:t>
      </w:r>
      <w:r w:rsidRPr="00EC0706">
        <w:rPr>
          <w:bCs/>
          <w:sz w:val="28"/>
          <w:szCs w:val="28"/>
          <w:lang w:val="uk-UA" w:eastAsia="uk-UA"/>
        </w:rPr>
        <w:t>порядку підготовки та оцінки готовності теплових, тепловикористальних установок і мереж, енергетичного обладнання суб’єктів відносин у сфері теплопостачання до роботи в опалювальний період</w:t>
      </w:r>
      <w:r w:rsidRPr="00EC0706">
        <w:rPr>
          <w:sz w:val="28"/>
          <w:szCs w:val="28"/>
          <w:lang w:val="uk-UA"/>
        </w:rPr>
        <w:t xml:space="preserve"> </w:t>
      </w:r>
      <w:r w:rsidRPr="00EC0706">
        <w:rPr>
          <w:sz w:val="28"/>
          <w:szCs w:val="28"/>
          <w:shd w:val="clear" w:color="auto" w:fill="FFFFFF"/>
          <w:lang w:val="uk-UA"/>
        </w:rPr>
        <w:t xml:space="preserve">та визначаються особливості їх підготовки та </w:t>
      </w:r>
      <w:r w:rsidRPr="00EC0706">
        <w:rPr>
          <w:sz w:val="28"/>
          <w:szCs w:val="28"/>
          <w:shd w:val="clear" w:color="auto" w:fill="FFFFFF"/>
          <w:lang w:val="uk-UA"/>
        </w:rPr>
        <w:lastRenderedPageBreak/>
        <w:t>підтвердження (оцінки) готовності до роботи в ОП, унормовує зміст і терміни виконання:</w:t>
      </w:r>
    </w:p>
    <w:p w:rsidR="00E85EEC" w:rsidRPr="00EC0706" w:rsidRDefault="00E85EEC" w:rsidP="00E85EEC">
      <w:pPr>
        <w:spacing w:before="0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 xml:space="preserve">розпорядчих документів щодо розробки та виконання відповідних заходів з підготовки до роботи в ОП; </w:t>
      </w:r>
    </w:p>
    <w:p w:rsidR="00E85EEC" w:rsidRPr="00EC0706" w:rsidRDefault="00E85EEC" w:rsidP="00E85EEC">
      <w:pPr>
        <w:spacing w:before="0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 xml:space="preserve">планів заходів з підготовки до роботи в ОП; </w:t>
      </w:r>
    </w:p>
    <w:p w:rsidR="00E85EEC" w:rsidRPr="00EC0706" w:rsidRDefault="00E85EEC" w:rsidP="00E85EEC">
      <w:pPr>
        <w:pStyle w:val="ad"/>
        <w:spacing w:before="0"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EC0706">
        <w:rPr>
          <w:rFonts w:ascii="Times New Roman" w:hAnsi="Times New Roman" w:cs="Times New Roman"/>
          <w:sz w:val="28"/>
          <w:szCs w:val="28"/>
          <w:lang w:val="uk-UA"/>
        </w:rPr>
        <w:t>здійснення державного нагляду (контролю) щодо стану підготовки та оцінки готовності до роботи в ОП.</w:t>
      </w:r>
    </w:p>
    <w:p w:rsidR="00E85EEC" w:rsidRPr="00EC0706" w:rsidRDefault="00E85EEC" w:rsidP="00E85EEC">
      <w:pPr>
        <w:spacing w:before="0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 xml:space="preserve">Проєкт наказу встановлює </w:t>
      </w:r>
      <w:r w:rsidRPr="00EC0706">
        <w:rPr>
          <w:bCs/>
          <w:sz w:val="28"/>
          <w:szCs w:val="28"/>
          <w:lang w:val="uk-UA" w:eastAsia="uk-UA"/>
        </w:rPr>
        <w:t xml:space="preserve">декларативний принцип підтвердження готовності до </w:t>
      </w:r>
      <w:r w:rsidRPr="00987AF5">
        <w:rPr>
          <w:bCs/>
          <w:sz w:val="28"/>
          <w:szCs w:val="28"/>
          <w:lang w:val="uk-UA" w:eastAsia="uk-UA"/>
        </w:rPr>
        <w:t xml:space="preserve">роботи в ОП для всіх суб’єктів </w:t>
      </w:r>
      <w:r w:rsidRPr="00987AF5">
        <w:rPr>
          <w:sz w:val="28"/>
          <w:szCs w:val="28"/>
          <w:lang w:val="uk-UA"/>
        </w:rPr>
        <w:t xml:space="preserve">відносин у сфері </w:t>
      </w:r>
      <w:r w:rsidRPr="00987AF5">
        <w:rPr>
          <w:bCs/>
          <w:sz w:val="28"/>
          <w:szCs w:val="28"/>
          <w:lang w:val="uk-UA" w:eastAsia="uk-UA"/>
        </w:rPr>
        <w:t xml:space="preserve">теплопостачання </w:t>
      </w:r>
      <w:r w:rsidRPr="00987AF5">
        <w:rPr>
          <w:sz w:val="28"/>
          <w:szCs w:val="28"/>
          <w:shd w:val="clear" w:color="auto" w:fill="FFFFFF"/>
          <w:lang w:val="uk-UA"/>
        </w:rPr>
        <w:t xml:space="preserve">(крім </w:t>
      </w:r>
      <w:r w:rsidR="00104EC5" w:rsidRPr="00987AF5">
        <w:rPr>
          <w:sz w:val="28"/>
          <w:szCs w:val="28"/>
          <w:shd w:val="clear" w:color="auto" w:fill="FFFFFF"/>
          <w:lang w:val="ru-UA"/>
        </w:rPr>
        <w:t xml:space="preserve">тих, що </w:t>
      </w:r>
      <w:r w:rsidR="00104EC5" w:rsidRPr="00987AF5">
        <w:rPr>
          <w:sz w:val="28"/>
          <w:szCs w:val="28"/>
          <w:shd w:val="clear" w:color="auto" w:fill="FFFFFF"/>
          <w:lang w:val="uk-UA"/>
        </w:rPr>
        <w:t xml:space="preserve">мають у своїй власності або у господарському віданні (за договором) </w:t>
      </w:r>
      <w:r w:rsidRPr="00987AF5">
        <w:rPr>
          <w:sz w:val="28"/>
          <w:szCs w:val="28"/>
          <w:shd w:val="clear" w:color="auto" w:fill="FFFFFF"/>
          <w:lang w:val="uk-UA"/>
        </w:rPr>
        <w:t>теплоелектроцентрал</w:t>
      </w:r>
      <w:r w:rsidR="00104EC5" w:rsidRPr="00987AF5">
        <w:rPr>
          <w:sz w:val="28"/>
          <w:szCs w:val="28"/>
          <w:shd w:val="clear" w:color="auto" w:fill="FFFFFF"/>
          <w:lang w:val="uk-UA"/>
        </w:rPr>
        <w:t>і</w:t>
      </w:r>
      <w:r w:rsidRPr="00987AF5">
        <w:rPr>
          <w:sz w:val="28"/>
          <w:szCs w:val="28"/>
          <w:shd w:val="clear" w:color="auto" w:fill="FFFFFF"/>
          <w:lang w:val="uk-UA"/>
        </w:rPr>
        <w:t>, теплов</w:t>
      </w:r>
      <w:r w:rsidR="00104EC5" w:rsidRPr="00987AF5">
        <w:rPr>
          <w:sz w:val="28"/>
          <w:szCs w:val="28"/>
          <w:shd w:val="clear" w:color="auto" w:fill="FFFFFF"/>
          <w:lang w:val="uk-UA"/>
        </w:rPr>
        <w:t>і</w:t>
      </w:r>
      <w:r w:rsidRPr="00987AF5">
        <w:rPr>
          <w:sz w:val="28"/>
          <w:szCs w:val="28"/>
          <w:shd w:val="clear" w:color="auto" w:fill="FFFFFF"/>
          <w:lang w:val="uk-UA"/>
        </w:rPr>
        <w:t xml:space="preserve"> електростанці</w:t>
      </w:r>
      <w:r w:rsidR="00104EC5" w:rsidRPr="00987AF5">
        <w:rPr>
          <w:sz w:val="28"/>
          <w:szCs w:val="28"/>
          <w:shd w:val="clear" w:color="auto" w:fill="FFFFFF"/>
          <w:lang w:val="uk-UA"/>
        </w:rPr>
        <w:t>ї</w:t>
      </w:r>
      <w:r w:rsidRPr="00987AF5">
        <w:rPr>
          <w:sz w:val="28"/>
          <w:szCs w:val="28"/>
          <w:shd w:val="clear" w:color="auto" w:fill="FFFFFF"/>
          <w:lang w:val="uk-UA"/>
        </w:rPr>
        <w:t>, атомн</w:t>
      </w:r>
      <w:r w:rsidR="00104EC5" w:rsidRPr="00987AF5">
        <w:rPr>
          <w:sz w:val="28"/>
          <w:szCs w:val="28"/>
          <w:shd w:val="clear" w:color="auto" w:fill="FFFFFF"/>
          <w:lang w:val="uk-UA"/>
        </w:rPr>
        <w:t>і</w:t>
      </w:r>
      <w:r w:rsidRPr="00987AF5">
        <w:rPr>
          <w:sz w:val="28"/>
          <w:szCs w:val="28"/>
          <w:shd w:val="clear" w:color="auto" w:fill="FFFFFF"/>
          <w:lang w:val="uk-UA"/>
        </w:rPr>
        <w:t xml:space="preserve"> електростанці</w:t>
      </w:r>
      <w:r w:rsidR="00104EC5" w:rsidRPr="00987AF5">
        <w:rPr>
          <w:sz w:val="28"/>
          <w:szCs w:val="28"/>
          <w:shd w:val="clear" w:color="auto" w:fill="FFFFFF"/>
          <w:lang w:val="uk-UA"/>
        </w:rPr>
        <w:t>ї</w:t>
      </w:r>
      <w:r w:rsidRPr="00987AF5">
        <w:rPr>
          <w:sz w:val="28"/>
          <w:szCs w:val="28"/>
          <w:shd w:val="clear" w:color="auto" w:fill="FFFFFF"/>
          <w:lang w:val="uk-UA"/>
        </w:rPr>
        <w:t>, когенераційн</w:t>
      </w:r>
      <w:r w:rsidR="00104EC5" w:rsidRPr="00987AF5">
        <w:rPr>
          <w:sz w:val="28"/>
          <w:szCs w:val="28"/>
          <w:shd w:val="clear" w:color="auto" w:fill="FFFFFF"/>
          <w:lang w:val="uk-UA"/>
        </w:rPr>
        <w:t>і</w:t>
      </w:r>
      <w:r w:rsidRPr="00987AF5">
        <w:rPr>
          <w:sz w:val="28"/>
          <w:szCs w:val="28"/>
          <w:shd w:val="clear" w:color="auto" w:fill="FFFFFF"/>
          <w:lang w:val="uk-UA"/>
        </w:rPr>
        <w:t xml:space="preserve"> установк</w:t>
      </w:r>
      <w:r w:rsidR="00104EC5" w:rsidRPr="00987AF5">
        <w:rPr>
          <w:sz w:val="28"/>
          <w:szCs w:val="28"/>
          <w:shd w:val="clear" w:color="auto" w:fill="FFFFFF"/>
          <w:lang w:val="uk-UA"/>
        </w:rPr>
        <w:t>и</w:t>
      </w:r>
      <w:r w:rsidRPr="00987AF5">
        <w:rPr>
          <w:sz w:val="28"/>
          <w:szCs w:val="28"/>
          <w:shd w:val="clear" w:color="auto" w:fill="FFFFFF"/>
          <w:lang w:val="uk-UA"/>
        </w:rPr>
        <w:t xml:space="preserve"> та внутрішньобудинков</w:t>
      </w:r>
      <w:r w:rsidR="00104EC5" w:rsidRPr="00987AF5">
        <w:rPr>
          <w:sz w:val="28"/>
          <w:szCs w:val="28"/>
          <w:shd w:val="clear" w:color="auto" w:fill="FFFFFF"/>
          <w:lang w:val="uk-UA"/>
        </w:rPr>
        <w:t>і</w:t>
      </w:r>
      <w:r w:rsidRPr="00987AF5">
        <w:rPr>
          <w:sz w:val="28"/>
          <w:szCs w:val="28"/>
          <w:shd w:val="clear" w:color="auto" w:fill="FFFFFF"/>
          <w:lang w:val="uk-UA"/>
        </w:rPr>
        <w:t xml:space="preserve"> систем</w:t>
      </w:r>
      <w:r w:rsidR="00104EC5" w:rsidRPr="00987AF5">
        <w:rPr>
          <w:sz w:val="28"/>
          <w:szCs w:val="28"/>
          <w:shd w:val="clear" w:color="auto" w:fill="FFFFFF"/>
          <w:lang w:val="uk-UA"/>
        </w:rPr>
        <w:t>и</w:t>
      </w:r>
      <w:r w:rsidRPr="00987AF5">
        <w:rPr>
          <w:sz w:val="28"/>
          <w:szCs w:val="28"/>
          <w:shd w:val="clear" w:color="auto" w:fill="FFFFFF"/>
          <w:lang w:val="uk-UA"/>
        </w:rPr>
        <w:t xml:space="preserve"> теплоспоживання багатоквартирних житлових будинків), </w:t>
      </w:r>
      <w:r w:rsidRPr="00987AF5">
        <w:rPr>
          <w:sz w:val="28"/>
          <w:szCs w:val="28"/>
          <w:lang w:val="uk-UA"/>
        </w:rPr>
        <w:t xml:space="preserve">регламентує участь у </w:t>
      </w:r>
      <w:r w:rsidRPr="00987AF5">
        <w:rPr>
          <w:sz w:val="28"/>
          <w:szCs w:val="28"/>
          <w:lang w:val="uk-UA" w:eastAsia="uk-UA"/>
        </w:rPr>
        <w:t>Комісіях з перевірки готовності до роботи в ОП представників Держенергонагляду у разі наявності</w:t>
      </w:r>
      <w:r w:rsidRPr="00EC0706">
        <w:rPr>
          <w:sz w:val="28"/>
          <w:szCs w:val="28"/>
          <w:lang w:val="uk-UA" w:eastAsia="uk-UA"/>
        </w:rPr>
        <w:t xml:space="preserve"> високого ступеню ризику від провадження господарської діяльності суб'єктом </w:t>
      </w:r>
      <w:r w:rsidRPr="00EC0706">
        <w:rPr>
          <w:sz w:val="28"/>
          <w:szCs w:val="28"/>
          <w:lang w:val="uk-UA"/>
        </w:rPr>
        <w:t xml:space="preserve">відносин у сфері </w:t>
      </w:r>
      <w:r w:rsidRPr="00EC0706">
        <w:rPr>
          <w:bCs/>
          <w:sz w:val="28"/>
          <w:szCs w:val="28"/>
          <w:lang w:val="uk-UA" w:eastAsia="uk-UA"/>
        </w:rPr>
        <w:t>теплопостачання</w:t>
      </w:r>
      <w:r w:rsidRPr="00EC0706">
        <w:rPr>
          <w:sz w:val="28"/>
          <w:szCs w:val="28"/>
          <w:lang w:val="uk-UA" w:eastAsia="uk-UA"/>
        </w:rPr>
        <w:t xml:space="preserve"> відповідно до </w:t>
      </w:r>
      <w:r w:rsidR="0046128B">
        <w:rPr>
          <w:sz w:val="28"/>
          <w:szCs w:val="28"/>
          <w:lang w:val="uk-UA" w:eastAsia="uk-UA"/>
        </w:rPr>
        <w:t>К</w:t>
      </w:r>
      <w:r w:rsidRPr="00EC0706">
        <w:rPr>
          <w:sz w:val="28"/>
          <w:szCs w:val="28"/>
          <w:lang w:val="uk-UA" w:eastAsia="uk-UA"/>
        </w:rPr>
        <w:t>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планових заходів державного нагляду (контролю) Держенергонагляду</w:t>
      </w:r>
      <w:r w:rsidR="00567CAB">
        <w:rPr>
          <w:sz w:val="28"/>
          <w:szCs w:val="28"/>
          <w:lang w:val="uk-UA" w:eastAsia="uk-UA"/>
        </w:rPr>
        <w:t>,</w:t>
      </w:r>
      <w:r w:rsidRPr="00EC0706">
        <w:rPr>
          <w:sz w:val="28"/>
          <w:szCs w:val="28"/>
          <w:lang w:val="uk-UA" w:eastAsia="uk-UA"/>
        </w:rPr>
        <w:t xml:space="preserve"> або виявлення порушень, зафіксованих в результаті проведення </w:t>
      </w:r>
      <w:r w:rsidRPr="00EC0706">
        <w:rPr>
          <w:sz w:val="28"/>
          <w:szCs w:val="28"/>
          <w:shd w:val="clear" w:color="auto" w:fill="FFFFFF"/>
          <w:lang w:val="uk-UA"/>
        </w:rPr>
        <w:t>Держенергонаглядом</w:t>
      </w:r>
      <w:r w:rsidRPr="00EC0706">
        <w:rPr>
          <w:sz w:val="28"/>
          <w:szCs w:val="28"/>
          <w:lang w:val="uk-UA" w:eastAsia="uk-UA"/>
        </w:rPr>
        <w:t xml:space="preserve"> планових, позапланових та моніторингових заходів, в тому числі на виконання доручень </w:t>
      </w:r>
      <w:r w:rsidRPr="00EC0706">
        <w:rPr>
          <w:sz w:val="28"/>
          <w:szCs w:val="28"/>
          <w:shd w:val="clear" w:color="auto" w:fill="FFFFFF"/>
          <w:lang w:val="uk-UA"/>
        </w:rPr>
        <w:t>Міненерго.</w:t>
      </w:r>
    </w:p>
    <w:p w:rsidR="00E85EEC" w:rsidRPr="0000033D" w:rsidRDefault="00E85EEC" w:rsidP="00E85EEC">
      <w:pPr>
        <w:spacing w:before="0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 xml:space="preserve">Тобто проєкт наказу спрямований на зменшення надмірного регуляторного тиску на всі суб’єкти </w:t>
      </w:r>
      <w:r w:rsidRPr="00EC0706">
        <w:rPr>
          <w:bCs/>
          <w:sz w:val="28"/>
          <w:szCs w:val="28"/>
          <w:lang w:val="uk-UA" w:eastAsia="uk-UA"/>
        </w:rPr>
        <w:t>відносин у сфері теплопостачання</w:t>
      </w:r>
      <w:r w:rsidRPr="00EC0706">
        <w:rPr>
          <w:sz w:val="28"/>
          <w:szCs w:val="28"/>
          <w:lang w:val="uk-UA"/>
        </w:rPr>
        <w:t>.</w:t>
      </w:r>
    </w:p>
    <w:p w:rsidR="00E85EEC" w:rsidRDefault="00E85EEC" w:rsidP="004F3A0E">
      <w:pPr>
        <w:pStyle w:val="ad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97EF9" w:rsidRPr="00EC0706" w:rsidRDefault="00B34DE1" w:rsidP="00734450">
      <w:pPr>
        <w:spacing w:before="0"/>
        <w:ind w:right="203"/>
        <w:rPr>
          <w:b/>
          <w:bCs/>
          <w:sz w:val="28"/>
          <w:szCs w:val="28"/>
          <w:lang w:val="uk-UA"/>
        </w:rPr>
      </w:pPr>
      <w:r w:rsidRPr="00EC0706">
        <w:rPr>
          <w:b/>
          <w:bCs/>
          <w:sz w:val="28"/>
          <w:szCs w:val="28"/>
          <w:lang w:val="uk-UA"/>
        </w:rPr>
        <w:t xml:space="preserve">ІІІ. </w:t>
      </w:r>
      <w:r w:rsidR="003219E7" w:rsidRPr="00EC0706">
        <w:rPr>
          <w:b/>
          <w:bCs/>
          <w:sz w:val="28"/>
          <w:szCs w:val="28"/>
          <w:lang w:val="uk-UA"/>
        </w:rPr>
        <w:t>Визначення та оцінка альтернат</w:t>
      </w:r>
      <w:r w:rsidR="00734450" w:rsidRPr="00EC0706">
        <w:rPr>
          <w:b/>
          <w:bCs/>
          <w:sz w:val="28"/>
          <w:szCs w:val="28"/>
          <w:lang w:val="uk-UA"/>
        </w:rPr>
        <w:t>ивних способів досягнення цілей</w:t>
      </w:r>
    </w:p>
    <w:p w:rsidR="003219E7" w:rsidRPr="00EC0706" w:rsidRDefault="003219E7" w:rsidP="00D32FB0">
      <w:pPr>
        <w:numPr>
          <w:ilvl w:val="0"/>
          <w:numId w:val="10"/>
        </w:numPr>
        <w:spacing w:before="0"/>
        <w:ind w:right="204"/>
        <w:rPr>
          <w:bCs/>
          <w:sz w:val="28"/>
          <w:szCs w:val="28"/>
          <w:lang w:val="uk-UA"/>
        </w:rPr>
      </w:pPr>
      <w:r w:rsidRPr="00EC0706">
        <w:rPr>
          <w:bCs/>
          <w:sz w:val="28"/>
          <w:szCs w:val="28"/>
          <w:lang w:val="uk-UA"/>
        </w:rPr>
        <w:t>Визначення альтернативних способів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804"/>
      </w:tblGrid>
      <w:tr w:rsidR="003219E7" w:rsidRPr="00EC0706" w:rsidTr="000F6131">
        <w:trPr>
          <w:cantSplit/>
        </w:trPr>
        <w:tc>
          <w:tcPr>
            <w:tcW w:w="2694" w:type="dxa"/>
            <w:vAlign w:val="center"/>
          </w:tcPr>
          <w:p w:rsidR="003219E7" w:rsidRPr="00EC0706" w:rsidRDefault="003219E7" w:rsidP="00D32FB0">
            <w:pPr>
              <w:widowControl w:val="0"/>
              <w:autoSpaceDE w:val="0"/>
              <w:autoSpaceDN w:val="0"/>
              <w:adjustRightInd w:val="0"/>
              <w:spacing w:before="0"/>
              <w:ind w:left="37" w:hanging="37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bCs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804" w:type="dxa"/>
            <w:vAlign w:val="center"/>
          </w:tcPr>
          <w:p w:rsidR="003219E7" w:rsidRPr="00EC0706" w:rsidRDefault="003219E7" w:rsidP="00D32FB0">
            <w:pPr>
              <w:widowControl w:val="0"/>
              <w:autoSpaceDE w:val="0"/>
              <w:autoSpaceDN w:val="0"/>
              <w:adjustRightInd w:val="0"/>
              <w:spacing w:before="0"/>
              <w:ind w:firstLine="3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bCs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D32FB0" w:rsidRPr="00EC0706" w:rsidTr="000F6131">
        <w:tc>
          <w:tcPr>
            <w:tcW w:w="2694" w:type="dxa"/>
          </w:tcPr>
          <w:p w:rsidR="00BF30BC" w:rsidRPr="00EC0706" w:rsidRDefault="00BF30BC" w:rsidP="00BF30BC">
            <w:pPr>
              <w:spacing w:before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 xml:space="preserve">Альтернатива 1 </w:t>
            </w:r>
          </w:p>
          <w:p w:rsidR="00BF30BC" w:rsidRPr="00EC0706" w:rsidRDefault="00BF30BC" w:rsidP="00BF30BC">
            <w:pPr>
              <w:spacing w:before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3219E7" w:rsidRPr="00EC0706" w:rsidRDefault="00BF30BC" w:rsidP="00BF30BC">
            <w:pPr>
              <w:spacing w:before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Залишення існуючої ситуації без змін</w:t>
            </w:r>
          </w:p>
        </w:tc>
        <w:tc>
          <w:tcPr>
            <w:tcW w:w="6804" w:type="dxa"/>
          </w:tcPr>
          <w:p w:rsidR="003219E7" w:rsidRPr="00EC0706" w:rsidRDefault="00BF30BC" w:rsidP="00A67856">
            <w:pPr>
              <w:spacing w:before="0"/>
              <w:ind w:right="33" w:firstLine="0"/>
              <w:textAlignment w:val="baseline"/>
              <w:rPr>
                <w:spacing w:val="-4"/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Відсутність порядку підготовки</w:t>
            </w:r>
            <w:r w:rsidR="00F36726" w:rsidRPr="00EC0706">
              <w:rPr>
                <w:sz w:val="28"/>
                <w:szCs w:val="28"/>
                <w:lang w:val="uk-UA"/>
              </w:rPr>
              <w:t xml:space="preserve"> </w:t>
            </w:r>
            <w:r w:rsidRPr="00EC0706">
              <w:rPr>
                <w:sz w:val="28"/>
                <w:szCs w:val="28"/>
                <w:lang w:val="uk-UA"/>
              </w:rPr>
              <w:t xml:space="preserve">об’єктів </w:t>
            </w:r>
            <w:r w:rsidR="00F36726" w:rsidRPr="00EC0706">
              <w:rPr>
                <w:sz w:val="28"/>
                <w:szCs w:val="28"/>
                <w:lang w:val="uk-UA"/>
              </w:rPr>
              <w:t>у сфері теплопостачання</w:t>
            </w:r>
            <w:r w:rsidRPr="00EC0706">
              <w:rPr>
                <w:sz w:val="28"/>
                <w:szCs w:val="28"/>
                <w:lang w:val="uk-UA"/>
              </w:rPr>
              <w:t xml:space="preserve"> до роботи в </w:t>
            </w:r>
            <w:r w:rsidR="00F36726" w:rsidRPr="00EC0706">
              <w:rPr>
                <w:sz w:val="28"/>
                <w:szCs w:val="28"/>
                <w:lang w:val="uk-UA"/>
              </w:rPr>
              <w:t>опалювальний</w:t>
            </w:r>
            <w:r w:rsidRPr="00EC0706">
              <w:rPr>
                <w:sz w:val="28"/>
                <w:szCs w:val="28"/>
                <w:lang w:val="uk-UA"/>
              </w:rPr>
              <w:t xml:space="preserve"> період з метою забезпечення їх надійного і ефективного функціонування може призвести до аварійних ситуацій в умовах низьких температур та як наслідок до заморожування житлово-господарської інфраструктури.</w:t>
            </w:r>
          </w:p>
        </w:tc>
      </w:tr>
      <w:tr w:rsidR="00D32FB0" w:rsidRPr="00EC0706" w:rsidTr="000F6131">
        <w:trPr>
          <w:cantSplit/>
        </w:trPr>
        <w:tc>
          <w:tcPr>
            <w:tcW w:w="2694" w:type="dxa"/>
          </w:tcPr>
          <w:p w:rsidR="003219E7" w:rsidRPr="00EC0706" w:rsidRDefault="003219E7" w:rsidP="00BF30BC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lastRenderedPageBreak/>
              <w:t>Альтернатива 2.</w:t>
            </w:r>
          </w:p>
          <w:p w:rsidR="00BF30BC" w:rsidRPr="00EC0706" w:rsidRDefault="00BF30BC" w:rsidP="00BF30BC">
            <w:pPr>
              <w:spacing w:before="0"/>
              <w:ind w:right="203" w:firstLine="0"/>
              <w:jc w:val="center"/>
              <w:rPr>
                <w:sz w:val="28"/>
                <w:szCs w:val="28"/>
                <w:lang w:val="uk-UA"/>
              </w:rPr>
            </w:pPr>
          </w:p>
          <w:p w:rsidR="003219E7" w:rsidRPr="00EC0706" w:rsidRDefault="00BF30BC" w:rsidP="00BF30BC">
            <w:pPr>
              <w:spacing w:before="0"/>
              <w:ind w:right="203"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Прийняття проєкту наказу</w:t>
            </w:r>
          </w:p>
        </w:tc>
        <w:tc>
          <w:tcPr>
            <w:tcW w:w="6804" w:type="dxa"/>
          </w:tcPr>
          <w:p w:rsidR="003219E7" w:rsidRPr="00EC0706" w:rsidRDefault="00BF30BC" w:rsidP="00370350">
            <w:pPr>
              <w:spacing w:before="0"/>
              <w:ind w:right="33" w:firstLine="0"/>
              <w:rPr>
                <w:b/>
                <w:bCs/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 xml:space="preserve">Затвердження </w:t>
            </w:r>
            <w:r w:rsidRPr="00EC0706">
              <w:rPr>
                <w:bCs/>
                <w:sz w:val="28"/>
                <w:szCs w:val="28"/>
                <w:lang w:val="uk-UA"/>
              </w:rPr>
              <w:t xml:space="preserve">Положення </w:t>
            </w:r>
            <w:r w:rsidRPr="00EC0706">
              <w:rPr>
                <w:bCs/>
                <w:sz w:val="28"/>
                <w:szCs w:val="28"/>
                <w:lang w:val="uk-UA" w:eastAsia="uk-UA"/>
              </w:rPr>
              <w:t>про порядок підготовки та оцінки готовності теплових, тепловикористальних установок і мереж, енергетичного обладнання суб’єктів відносин у сфері теплопостачання до роботи в опалювальний період</w:t>
            </w:r>
            <w:r w:rsidRPr="00EC0706">
              <w:rPr>
                <w:sz w:val="28"/>
                <w:szCs w:val="28"/>
                <w:lang w:val="uk-UA"/>
              </w:rPr>
              <w:t xml:space="preserve"> з метою забезпечення надійного і безперебійного (стабільного) постачання споживачів тепловою енергією та </w:t>
            </w:r>
            <w:r w:rsidRPr="00EC0706">
              <w:rPr>
                <w:color w:val="000000"/>
                <w:sz w:val="28"/>
                <w:szCs w:val="28"/>
                <w:lang w:val="uk-UA"/>
              </w:rPr>
              <w:t>надійному функціонуванню систем теплопостачання протягом опалювального періоду</w:t>
            </w:r>
          </w:p>
        </w:tc>
      </w:tr>
    </w:tbl>
    <w:p w:rsidR="003A5F6D" w:rsidRPr="00EC0706" w:rsidRDefault="003A5F6D" w:rsidP="00734450">
      <w:pPr>
        <w:spacing w:before="0"/>
        <w:ind w:right="203"/>
        <w:jc w:val="left"/>
        <w:rPr>
          <w:bCs/>
          <w:sz w:val="28"/>
          <w:szCs w:val="28"/>
          <w:lang w:val="uk-UA"/>
        </w:rPr>
      </w:pPr>
    </w:p>
    <w:p w:rsidR="00D2329A" w:rsidRPr="00EC0706" w:rsidRDefault="00734450" w:rsidP="00734450">
      <w:pPr>
        <w:spacing w:before="0"/>
        <w:ind w:right="203"/>
        <w:jc w:val="left"/>
        <w:rPr>
          <w:bCs/>
          <w:sz w:val="28"/>
          <w:szCs w:val="28"/>
          <w:lang w:val="uk-UA"/>
        </w:rPr>
      </w:pPr>
      <w:r w:rsidRPr="00EC0706">
        <w:rPr>
          <w:bCs/>
          <w:sz w:val="28"/>
          <w:szCs w:val="28"/>
          <w:lang w:val="uk-UA"/>
        </w:rPr>
        <w:t xml:space="preserve">2. </w:t>
      </w:r>
      <w:r w:rsidR="003219E7" w:rsidRPr="00EC0706">
        <w:rPr>
          <w:bCs/>
          <w:sz w:val="28"/>
          <w:szCs w:val="28"/>
          <w:lang w:val="uk-UA"/>
        </w:rPr>
        <w:t>Оцінка вибраних альтернативних способів досягнення цілей</w:t>
      </w:r>
      <w:r w:rsidRPr="00EC0706">
        <w:rPr>
          <w:bCs/>
          <w:sz w:val="28"/>
          <w:szCs w:val="28"/>
          <w:lang w:val="uk-UA"/>
        </w:rPr>
        <w:t xml:space="preserve">. </w:t>
      </w:r>
    </w:p>
    <w:p w:rsidR="003219E7" w:rsidRPr="00EC0706" w:rsidRDefault="003219E7" w:rsidP="00B5699E">
      <w:pPr>
        <w:spacing w:before="120" w:after="120"/>
        <w:ind w:right="203"/>
        <w:jc w:val="center"/>
        <w:rPr>
          <w:bCs/>
          <w:sz w:val="28"/>
          <w:szCs w:val="28"/>
          <w:lang w:val="uk-UA"/>
        </w:rPr>
      </w:pPr>
      <w:r w:rsidRPr="00EC0706">
        <w:rPr>
          <w:bCs/>
          <w:sz w:val="28"/>
          <w:szCs w:val="28"/>
          <w:lang w:val="uk-UA"/>
        </w:rPr>
        <w:t>Оцінка впливу на сферу інтере</w:t>
      </w:r>
      <w:r w:rsidR="00541862" w:rsidRPr="00EC0706">
        <w:rPr>
          <w:bCs/>
          <w:sz w:val="28"/>
          <w:szCs w:val="28"/>
          <w:lang w:val="uk-UA"/>
        </w:rPr>
        <w:t>сів держави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110"/>
        <w:gridCol w:w="3261"/>
      </w:tblGrid>
      <w:tr w:rsidR="0015494E" w:rsidRPr="00EC0706" w:rsidTr="0069557C">
        <w:trPr>
          <w:trHeight w:val="464"/>
        </w:trPr>
        <w:tc>
          <w:tcPr>
            <w:tcW w:w="2410" w:type="dxa"/>
            <w:vAlign w:val="center"/>
          </w:tcPr>
          <w:p w:rsidR="003219E7" w:rsidRPr="00EC0706" w:rsidRDefault="003219E7" w:rsidP="002A5501">
            <w:pPr>
              <w:spacing w:before="0"/>
              <w:ind w:firstLine="0"/>
              <w:jc w:val="center"/>
              <w:textAlignment w:val="baseline"/>
              <w:rPr>
                <w:bCs/>
                <w:sz w:val="28"/>
                <w:szCs w:val="28"/>
                <w:lang w:val="uk-UA" w:eastAsia="uk-UA"/>
              </w:rPr>
            </w:pPr>
            <w:r w:rsidRPr="00EC0706">
              <w:rPr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4110" w:type="dxa"/>
            <w:vAlign w:val="center"/>
          </w:tcPr>
          <w:p w:rsidR="003219E7" w:rsidRPr="00EC0706" w:rsidRDefault="003219E7" w:rsidP="002A5501">
            <w:pPr>
              <w:spacing w:before="0"/>
              <w:ind w:hanging="5"/>
              <w:jc w:val="center"/>
              <w:textAlignment w:val="baseline"/>
              <w:rPr>
                <w:bCs/>
                <w:sz w:val="28"/>
                <w:szCs w:val="28"/>
                <w:lang w:val="uk-UA" w:eastAsia="uk-UA"/>
              </w:rPr>
            </w:pPr>
            <w:r w:rsidRPr="00EC0706">
              <w:rPr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261" w:type="dxa"/>
            <w:vAlign w:val="center"/>
          </w:tcPr>
          <w:p w:rsidR="003219E7" w:rsidRPr="00EC0706" w:rsidRDefault="003219E7" w:rsidP="002A5501">
            <w:pPr>
              <w:spacing w:before="0"/>
              <w:ind w:firstLine="0"/>
              <w:jc w:val="center"/>
              <w:textAlignment w:val="baseline"/>
              <w:rPr>
                <w:bCs/>
                <w:sz w:val="28"/>
                <w:szCs w:val="28"/>
                <w:lang w:val="uk-UA" w:eastAsia="uk-UA"/>
              </w:rPr>
            </w:pPr>
            <w:r w:rsidRPr="00EC0706">
              <w:rPr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15494E" w:rsidRPr="00EC0706" w:rsidTr="0069557C">
        <w:trPr>
          <w:trHeight w:val="657"/>
        </w:trPr>
        <w:tc>
          <w:tcPr>
            <w:tcW w:w="2410" w:type="dxa"/>
          </w:tcPr>
          <w:p w:rsidR="00D2329A" w:rsidRPr="00EC0706" w:rsidRDefault="00D2329A" w:rsidP="00D2329A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Альтернатива 1</w:t>
            </w:r>
          </w:p>
          <w:p w:rsidR="003219E7" w:rsidRPr="00EC0706" w:rsidRDefault="00D2329A" w:rsidP="00D2329A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Залишення існуючої ситуації без змін</w:t>
            </w:r>
          </w:p>
        </w:tc>
        <w:tc>
          <w:tcPr>
            <w:tcW w:w="4110" w:type="dxa"/>
          </w:tcPr>
          <w:p w:rsidR="00D92354" w:rsidRPr="00EC0706" w:rsidRDefault="00D2329A" w:rsidP="00D2329A">
            <w:pPr>
              <w:pStyle w:val="af0"/>
              <w:spacing w:before="0" w:after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261" w:type="dxa"/>
          </w:tcPr>
          <w:p w:rsidR="003219E7" w:rsidRPr="00EC0706" w:rsidRDefault="00D2329A" w:rsidP="00A67856">
            <w:pPr>
              <w:spacing w:before="0"/>
              <w:ind w:firstLine="0"/>
              <w:jc w:val="left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/>
              </w:rPr>
              <w:t xml:space="preserve">Відсутність регулювання питання підготовки </w:t>
            </w:r>
            <w:r w:rsidR="00A67856" w:rsidRPr="00EC0706">
              <w:rPr>
                <w:sz w:val="28"/>
                <w:szCs w:val="28"/>
                <w:lang w:val="uk-UA"/>
              </w:rPr>
              <w:t>об’єктів у сфері теплопостачання до роботи в опалювальний період</w:t>
            </w:r>
            <w:r w:rsidRPr="00EC0706">
              <w:rPr>
                <w:sz w:val="28"/>
                <w:szCs w:val="28"/>
                <w:lang w:val="uk-UA"/>
              </w:rPr>
              <w:t>.</w:t>
            </w:r>
          </w:p>
        </w:tc>
      </w:tr>
      <w:tr w:rsidR="0015494E" w:rsidRPr="00EC0706" w:rsidTr="0069557C">
        <w:tc>
          <w:tcPr>
            <w:tcW w:w="2410" w:type="dxa"/>
          </w:tcPr>
          <w:p w:rsidR="00D2329A" w:rsidRPr="00EC0706" w:rsidRDefault="00D2329A" w:rsidP="00D2329A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Альтернатива 2</w:t>
            </w:r>
          </w:p>
          <w:p w:rsidR="003219E7" w:rsidRPr="00EC0706" w:rsidRDefault="00D2329A" w:rsidP="00D2329A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Прийняття проєкту наказу</w:t>
            </w:r>
          </w:p>
        </w:tc>
        <w:tc>
          <w:tcPr>
            <w:tcW w:w="4110" w:type="dxa"/>
          </w:tcPr>
          <w:p w:rsidR="003219E7" w:rsidRPr="00EC0706" w:rsidRDefault="00D2329A" w:rsidP="0069557C">
            <w:pPr>
              <w:spacing w:before="0"/>
              <w:ind w:hanging="5"/>
              <w:jc w:val="left"/>
              <w:textAlignment w:val="baseline"/>
              <w:rPr>
                <w:spacing w:val="-4"/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 xml:space="preserve">Врегулювання питання підготовки </w:t>
            </w:r>
            <w:r w:rsidR="0069557C" w:rsidRPr="00EC0706">
              <w:rPr>
                <w:sz w:val="28"/>
                <w:szCs w:val="28"/>
                <w:lang w:val="uk-UA"/>
              </w:rPr>
              <w:t>об’єктів у сфері теплопостачання до роботи в опалювальний період.</w:t>
            </w:r>
          </w:p>
        </w:tc>
        <w:tc>
          <w:tcPr>
            <w:tcW w:w="3261" w:type="dxa"/>
          </w:tcPr>
          <w:p w:rsidR="003219E7" w:rsidRPr="00EC0706" w:rsidRDefault="00D2329A" w:rsidP="00D2329A">
            <w:pPr>
              <w:shd w:val="clear" w:color="auto" w:fill="FFFFFF"/>
              <w:spacing w:before="0"/>
              <w:ind w:firstLine="0"/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Відсутні</w:t>
            </w:r>
          </w:p>
        </w:tc>
      </w:tr>
    </w:tbl>
    <w:p w:rsidR="003219E7" w:rsidRPr="00EC0706" w:rsidRDefault="003219E7" w:rsidP="00D32FB0">
      <w:pPr>
        <w:tabs>
          <w:tab w:val="left" w:pos="1701"/>
        </w:tabs>
        <w:spacing w:before="0"/>
        <w:ind w:right="203" w:firstLine="0"/>
        <w:jc w:val="left"/>
        <w:rPr>
          <w:b/>
          <w:bCs/>
          <w:sz w:val="28"/>
          <w:szCs w:val="28"/>
          <w:lang w:val="uk-UA"/>
        </w:rPr>
      </w:pPr>
    </w:p>
    <w:p w:rsidR="003219E7" w:rsidRPr="00EC0706" w:rsidRDefault="003219E7" w:rsidP="00B5699E">
      <w:pPr>
        <w:tabs>
          <w:tab w:val="left" w:pos="1701"/>
        </w:tabs>
        <w:spacing w:before="0" w:after="120"/>
        <w:ind w:right="204"/>
        <w:jc w:val="center"/>
        <w:rPr>
          <w:bCs/>
          <w:sz w:val="28"/>
          <w:szCs w:val="28"/>
          <w:lang w:val="uk-UA"/>
        </w:rPr>
      </w:pPr>
      <w:r w:rsidRPr="00EC0706">
        <w:rPr>
          <w:bCs/>
          <w:sz w:val="28"/>
          <w:szCs w:val="28"/>
          <w:lang w:val="uk-UA"/>
        </w:rPr>
        <w:t>Оцінка впл</w:t>
      </w:r>
      <w:r w:rsidR="00541862" w:rsidRPr="00EC0706">
        <w:rPr>
          <w:bCs/>
          <w:sz w:val="28"/>
          <w:szCs w:val="28"/>
          <w:lang w:val="uk-UA"/>
        </w:rPr>
        <w:t>иву на сферу інтересів громадян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4110"/>
        <w:gridCol w:w="3261"/>
      </w:tblGrid>
      <w:tr w:rsidR="003219E7" w:rsidRPr="00EC0706" w:rsidTr="0069557C">
        <w:trPr>
          <w:trHeight w:val="702"/>
        </w:trPr>
        <w:tc>
          <w:tcPr>
            <w:tcW w:w="2410" w:type="dxa"/>
            <w:vAlign w:val="center"/>
          </w:tcPr>
          <w:p w:rsidR="003219E7" w:rsidRPr="00EC0706" w:rsidRDefault="003219E7" w:rsidP="00D32FB0">
            <w:pPr>
              <w:spacing w:before="0"/>
              <w:ind w:firstLine="0"/>
              <w:jc w:val="center"/>
              <w:textAlignment w:val="baseline"/>
              <w:rPr>
                <w:bCs/>
                <w:sz w:val="28"/>
                <w:szCs w:val="28"/>
                <w:lang w:val="uk-UA" w:eastAsia="uk-UA"/>
              </w:rPr>
            </w:pPr>
            <w:r w:rsidRPr="00EC0706">
              <w:rPr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4110" w:type="dxa"/>
            <w:vAlign w:val="center"/>
          </w:tcPr>
          <w:p w:rsidR="003219E7" w:rsidRPr="00EC0706" w:rsidRDefault="003219E7" w:rsidP="00D32FB0">
            <w:pPr>
              <w:spacing w:before="0"/>
              <w:ind w:firstLine="0"/>
              <w:jc w:val="center"/>
              <w:textAlignment w:val="baseline"/>
              <w:rPr>
                <w:bCs/>
                <w:sz w:val="28"/>
                <w:szCs w:val="28"/>
                <w:lang w:val="uk-UA" w:eastAsia="uk-UA"/>
              </w:rPr>
            </w:pPr>
            <w:r w:rsidRPr="00EC0706">
              <w:rPr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261" w:type="dxa"/>
            <w:vAlign w:val="center"/>
          </w:tcPr>
          <w:p w:rsidR="003219E7" w:rsidRPr="00EC0706" w:rsidRDefault="003219E7" w:rsidP="00D32FB0">
            <w:pPr>
              <w:spacing w:before="0"/>
              <w:ind w:firstLine="0"/>
              <w:jc w:val="center"/>
              <w:textAlignment w:val="baseline"/>
              <w:rPr>
                <w:bCs/>
                <w:sz w:val="28"/>
                <w:szCs w:val="28"/>
                <w:lang w:val="uk-UA" w:eastAsia="uk-UA"/>
              </w:rPr>
            </w:pPr>
            <w:r w:rsidRPr="00EC0706">
              <w:rPr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D57FA7" w:rsidRPr="00EC0706" w:rsidTr="0069557C">
        <w:trPr>
          <w:trHeight w:val="1231"/>
        </w:trPr>
        <w:tc>
          <w:tcPr>
            <w:tcW w:w="2410" w:type="dxa"/>
          </w:tcPr>
          <w:p w:rsidR="00D57FA7" w:rsidRPr="00EC0706" w:rsidRDefault="00D57FA7" w:rsidP="00D57FA7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Альтернатива 1</w:t>
            </w:r>
          </w:p>
          <w:p w:rsidR="00D57FA7" w:rsidRPr="00EC0706" w:rsidRDefault="00D57FA7" w:rsidP="00D57FA7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Залишення існуючої ситуації без змін</w:t>
            </w:r>
          </w:p>
        </w:tc>
        <w:tc>
          <w:tcPr>
            <w:tcW w:w="4110" w:type="dxa"/>
          </w:tcPr>
          <w:p w:rsidR="00D57FA7" w:rsidRPr="00EC0706" w:rsidRDefault="00D57FA7" w:rsidP="00D57FA7">
            <w:pPr>
              <w:spacing w:before="0"/>
              <w:ind w:firstLine="0"/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261" w:type="dxa"/>
          </w:tcPr>
          <w:p w:rsidR="00D57FA7" w:rsidRPr="00EC0706" w:rsidRDefault="00D57FA7" w:rsidP="00B5699E">
            <w:pPr>
              <w:spacing w:before="0"/>
              <w:ind w:firstLine="0"/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/>
              </w:rPr>
              <w:t>Виникнення загроз щодо відсутності постачання тепловою енергією.</w:t>
            </w:r>
          </w:p>
        </w:tc>
      </w:tr>
      <w:tr w:rsidR="00D57FA7" w:rsidRPr="00EC0706" w:rsidTr="0069557C">
        <w:trPr>
          <w:trHeight w:val="987"/>
        </w:trPr>
        <w:tc>
          <w:tcPr>
            <w:tcW w:w="2410" w:type="dxa"/>
          </w:tcPr>
          <w:p w:rsidR="00D57FA7" w:rsidRPr="00EC0706" w:rsidRDefault="00D57FA7" w:rsidP="00D57FA7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Альтернатива 2</w:t>
            </w:r>
          </w:p>
          <w:p w:rsidR="00D57FA7" w:rsidRPr="00EC0706" w:rsidRDefault="00D57FA7" w:rsidP="00D57FA7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Прийняття проєкту наказу</w:t>
            </w:r>
          </w:p>
        </w:tc>
        <w:tc>
          <w:tcPr>
            <w:tcW w:w="4110" w:type="dxa"/>
          </w:tcPr>
          <w:p w:rsidR="00D57FA7" w:rsidRPr="00EC0706" w:rsidRDefault="00D57FA7" w:rsidP="00B5699E">
            <w:pPr>
              <w:spacing w:before="0"/>
              <w:ind w:firstLine="0"/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/>
              </w:rPr>
              <w:t>Надійне і безперебійне (стабільне) постачання споживачів тепловою енергією</w:t>
            </w:r>
            <w:r w:rsidR="00B548EA" w:rsidRPr="00EC0706">
              <w:rPr>
                <w:sz w:val="28"/>
                <w:szCs w:val="28"/>
                <w:lang w:val="uk-UA"/>
              </w:rPr>
              <w:t xml:space="preserve"> в опалювальний період</w:t>
            </w:r>
          </w:p>
        </w:tc>
        <w:tc>
          <w:tcPr>
            <w:tcW w:w="3261" w:type="dxa"/>
          </w:tcPr>
          <w:p w:rsidR="00D57FA7" w:rsidRPr="00EC0706" w:rsidRDefault="00D57FA7" w:rsidP="00D57FA7">
            <w:pPr>
              <w:spacing w:before="0"/>
              <w:ind w:firstLine="0"/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 w:eastAsia="uk-UA"/>
              </w:rPr>
              <w:t>Відсутні</w:t>
            </w:r>
          </w:p>
        </w:tc>
      </w:tr>
    </w:tbl>
    <w:p w:rsidR="00602BC0" w:rsidRPr="00EC0706" w:rsidRDefault="00602BC0" w:rsidP="00D32FB0">
      <w:pPr>
        <w:tabs>
          <w:tab w:val="left" w:pos="720"/>
        </w:tabs>
        <w:spacing w:before="0"/>
        <w:ind w:firstLine="0"/>
        <w:rPr>
          <w:b/>
          <w:sz w:val="28"/>
          <w:szCs w:val="28"/>
          <w:lang w:val="uk-UA"/>
        </w:rPr>
      </w:pPr>
    </w:p>
    <w:p w:rsidR="003219E7" w:rsidRPr="00EC0706" w:rsidRDefault="003219E7" w:rsidP="00B5699E">
      <w:pPr>
        <w:tabs>
          <w:tab w:val="left" w:pos="720"/>
        </w:tabs>
        <w:spacing w:before="0" w:after="120"/>
        <w:ind w:firstLine="0"/>
        <w:jc w:val="center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>Оцінка впливу на сферу інт</w:t>
      </w:r>
      <w:r w:rsidR="00541862" w:rsidRPr="00EC0706">
        <w:rPr>
          <w:sz w:val="28"/>
          <w:szCs w:val="28"/>
          <w:lang w:val="uk-UA"/>
        </w:rPr>
        <w:t>ересів суб’єктів господарювання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1770"/>
        <w:gridCol w:w="1134"/>
        <w:gridCol w:w="1276"/>
        <w:gridCol w:w="965"/>
        <w:gridCol w:w="1107"/>
        <w:gridCol w:w="1188"/>
      </w:tblGrid>
      <w:tr w:rsidR="003219E7" w:rsidRPr="00EC0706" w:rsidTr="0026606E">
        <w:trPr>
          <w:trHeight w:val="975"/>
        </w:trPr>
        <w:tc>
          <w:tcPr>
            <w:tcW w:w="4111" w:type="dxa"/>
            <w:gridSpan w:val="2"/>
            <w:noWrap/>
          </w:tcPr>
          <w:p w:rsidR="003219E7" w:rsidRPr="00EC0706" w:rsidRDefault="003219E7" w:rsidP="00D32FB0">
            <w:pPr>
              <w:tabs>
                <w:tab w:val="left" w:pos="720"/>
              </w:tabs>
              <w:spacing w:before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134" w:type="dxa"/>
            <w:noWrap/>
          </w:tcPr>
          <w:p w:rsidR="003219E7" w:rsidRPr="00EC0706" w:rsidRDefault="003219E7" w:rsidP="00D32FB0">
            <w:pPr>
              <w:tabs>
                <w:tab w:val="left" w:pos="720"/>
              </w:tabs>
              <w:spacing w:before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276" w:type="dxa"/>
            <w:noWrap/>
          </w:tcPr>
          <w:p w:rsidR="003219E7" w:rsidRPr="00EC0706" w:rsidRDefault="003219E7" w:rsidP="00D32FB0">
            <w:pPr>
              <w:tabs>
                <w:tab w:val="left" w:pos="720"/>
              </w:tabs>
              <w:spacing w:before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965" w:type="dxa"/>
            <w:noWrap/>
          </w:tcPr>
          <w:p w:rsidR="003219E7" w:rsidRPr="00EC0706" w:rsidRDefault="003219E7" w:rsidP="00B5699E">
            <w:pPr>
              <w:tabs>
                <w:tab w:val="left" w:pos="720"/>
              </w:tabs>
              <w:spacing w:before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 xml:space="preserve">Малі  </w:t>
            </w:r>
          </w:p>
        </w:tc>
        <w:tc>
          <w:tcPr>
            <w:tcW w:w="1107" w:type="dxa"/>
            <w:noWrap/>
          </w:tcPr>
          <w:p w:rsidR="003219E7" w:rsidRPr="00EC0706" w:rsidRDefault="003219E7" w:rsidP="00B5699E">
            <w:pPr>
              <w:tabs>
                <w:tab w:val="left" w:pos="720"/>
              </w:tabs>
              <w:spacing w:before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 xml:space="preserve">Мікро </w:t>
            </w:r>
          </w:p>
        </w:tc>
        <w:tc>
          <w:tcPr>
            <w:tcW w:w="1188" w:type="dxa"/>
            <w:noWrap/>
          </w:tcPr>
          <w:p w:rsidR="003219E7" w:rsidRPr="00EC0706" w:rsidRDefault="003219E7" w:rsidP="00D32FB0">
            <w:pPr>
              <w:tabs>
                <w:tab w:val="left" w:pos="720"/>
              </w:tabs>
              <w:spacing w:before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3219E7" w:rsidRPr="00EC0706" w:rsidTr="0026606E">
        <w:tc>
          <w:tcPr>
            <w:tcW w:w="4111" w:type="dxa"/>
            <w:gridSpan w:val="2"/>
            <w:noWrap/>
          </w:tcPr>
          <w:p w:rsidR="003219E7" w:rsidRPr="00EC0706" w:rsidRDefault="003219E7" w:rsidP="00D32FB0">
            <w:pPr>
              <w:spacing w:before="0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 xml:space="preserve">Кількість суб’єктів </w:t>
            </w:r>
            <w:r w:rsidR="008C5012" w:rsidRPr="00EC0706">
              <w:rPr>
                <w:bCs/>
                <w:sz w:val="28"/>
                <w:szCs w:val="28"/>
                <w:lang w:val="uk-UA" w:eastAsia="uk-UA"/>
              </w:rPr>
              <w:t>відносин у сфері теплопостачання</w:t>
            </w:r>
            <w:r w:rsidRPr="00EC0706">
              <w:rPr>
                <w:sz w:val="28"/>
                <w:szCs w:val="28"/>
                <w:lang w:val="uk-UA"/>
              </w:rPr>
              <w:t xml:space="preserve">, що </w:t>
            </w:r>
            <w:r w:rsidRPr="00EC0706">
              <w:rPr>
                <w:sz w:val="28"/>
                <w:szCs w:val="28"/>
                <w:lang w:val="uk-UA"/>
              </w:rPr>
              <w:lastRenderedPageBreak/>
              <w:t xml:space="preserve">підпадають під дію регулювання, одиниць </w:t>
            </w:r>
          </w:p>
        </w:tc>
        <w:tc>
          <w:tcPr>
            <w:tcW w:w="1134" w:type="dxa"/>
            <w:noWrap/>
            <w:vAlign w:val="center"/>
          </w:tcPr>
          <w:p w:rsidR="003219E7" w:rsidRPr="00EC0706" w:rsidRDefault="003219E7" w:rsidP="00D32FB0">
            <w:pPr>
              <w:tabs>
                <w:tab w:val="left" w:pos="720"/>
              </w:tabs>
              <w:spacing w:before="0"/>
              <w:ind w:hanging="26"/>
              <w:jc w:val="center"/>
              <w:rPr>
                <w:sz w:val="28"/>
                <w:szCs w:val="28"/>
                <w:lang w:val="uk-UA"/>
              </w:rPr>
            </w:pPr>
          </w:p>
          <w:p w:rsidR="003219E7" w:rsidRPr="00EC0706" w:rsidRDefault="00731758" w:rsidP="00D32FB0">
            <w:pPr>
              <w:tabs>
                <w:tab w:val="left" w:pos="720"/>
              </w:tabs>
              <w:spacing w:before="0"/>
              <w:ind w:hanging="2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613</w:t>
            </w:r>
          </w:p>
        </w:tc>
        <w:tc>
          <w:tcPr>
            <w:tcW w:w="1276" w:type="dxa"/>
            <w:noWrap/>
            <w:vAlign w:val="center"/>
          </w:tcPr>
          <w:p w:rsidR="003219E7" w:rsidRPr="00EC0706" w:rsidRDefault="003219E7" w:rsidP="00D32FB0">
            <w:pPr>
              <w:tabs>
                <w:tab w:val="left" w:pos="720"/>
              </w:tabs>
              <w:spacing w:before="0"/>
              <w:ind w:hanging="26"/>
              <w:jc w:val="center"/>
              <w:rPr>
                <w:sz w:val="28"/>
                <w:szCs w:val="28"/>
                <w:lang w:val="uk-UA"/>
              </w:rPr>
            </w:pPr>
          </w:p>
          <w:p w:rsidR="003219E7" w:rsidRPr="00EC0706" w:rsidRDefault="00731758" w:rsidP="00D32FB0">
            <w:pPr>
              <w:tabs>
                <w:tab w:val="left" w:pos="720"/>
              </w:tabs>
              <w:spacing w:before="0"/>
              <w:ind w:hanging="26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583</w:t>
            </w:r>
          </w:p>
        </w:tc>
        <w:tc>
          <w:tcPr>
            <w:tcW w:w="965" w:type="dxa"/>
            <w:noWrap/>
            <w:vAlign w:val="center"/>
          </w:tcPr>
          <w:p w:rsidR="003219E7" w:rsidRPr="00EC0706" w:rsidRDefault="003219E7" w:rsidP="00D32FB0">
            <w:pPr>
              <w:tabs>
                <w:tab w:val="left" w:pos="720"/>
              </w:tabs>
              <w:spacing w:before="0"/>
              <w:ind w:hanging="26"/>
              <w:jc w:val="center"/>
              <w:rPr>
                <w:sz w:val="28"/>
                <w:szCs w:val="28"/>
                <w:lang w:val="uk-UA"/>
              </w:rPr>
            </w:pPr>
          </w:p>
          <w:p w:rsidR="003219E7" w:rsidRPr="00EC0706" w:rsidRDefault="003219E7" w:rsidP="00D32FB0">
            <w:pPr>
              <w:tabs>
                <w:tab w:val="left" w:pos="720"/>
              </w:tabs>
              <w:spacing w:before="0"/>
              <w:ind w:hanging="2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07" w:type="dxa"/>
            <w:noWrap/>
            <w:vAlign w:val="center"/>
          </w:tcPr>
          <w:p w:rsidR="003219E7" w:rsidRPr="00EC0706" w:rsidRDefault="003219E7" w:rsidP="00D32FB0">
            <w:pPr>
              <w:tabs>
                <w:tab w:val="left" w:pos="720"/>
              </w:tabs>
              <w:spacing w:before="0"/>
              <w:ind w:hanging="26"/>
              <w:jc w:val="center"/>
              <w:rPr>
                <w:sz w:val="28"/>
                <w:szCs w:val="28"/>
                <w:lang w:val="uk-UA"/>
              </w:rPr>
            </w:pPr>
          </w:p>
          <w:p w:rsidR="003219E7" w:rsidRPr="00EC0706" w:rsidRDefault="003219E7" w:rsidP="00D32FB0">
            <w:pPr>
              <w:tabs>
                <w:tab w:val="left" w:pos="720"/>
              </w:tabs>
              <w:spacing w:before="0"/>
              <w:ind w:hanging="26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88" w:type="dxa"/>
            <w:noWrap/>
            <w:vAlign w:val="center"/>
          </w:tcPr>
          <w:p w:rsidR="003219E7" w:rsidRPr="00EC0706" w:rsidRDefault="003219E7" w:rsidP="00D32FB0">
            <w:pPr>
              <w:tabs>
                <w:tab w:val="left" w:pos="720"/>
              </w:tabs>
              <w:spacing w:before="0"/>
              <w:ind w:hanging="26"/>
              <w:jc w:val="center"/>
              <w:rPr>
                <w:sz w:val="28"/>
                <w:szCs w:val="28"/>
                <w:lang w:val="uk-UA"/>
              </w:rPr>
            </w:pPr>
          </w:p>
          <w:p w:rsidR="003219E7" w:rsidRPr="00EC0706" w:rsidRDefault="00850359" w:rsidP="00D32FB0">
            <w:pPr>
              <w:tabs>
                <w:tab w:val="left" w:pos="720"/>
              </w:tabs>
              <w:spacing w:before="0"/>
              <w:ind w:hanging="2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1196</w:t>
            </w:r>
          </w:p>
        </w:tc>
      </w:tr>
      <w:tr w:rsidR="003219E7" w:rsidRPr="00EC0706" w:rsidTr="0026606E">
        <w:tc>
          <w:tcPr>
            <w:tcW w:w="4111" w:type="dxa"/>
            <w:gridSpan w:val="2"/>
            <w:noWrap/>
          </w:tcPr>
          <w:p w:rsidR="003219E7" w:rsidRPr="00EC0706" w:rsidRDefault="00B5699E" w:rsidP="00D32FB0">
            <w:pPr>
              <w:spacing w:before="0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lastRenderedPageBreak/>
              <w:t>Питома вага групи за ступенем ризику у загальній кількості, відсотків</w:t>
            </w:r>
          </w:p>
        </w:tc>
        <w:tc>
          <w:tcPr>
            <w:tcW w:w="1134" w:type="dxa"/>
            <w:noWrap/>
            <w:vAlign w:val="center"/>
          </w:tcPr>
          <w:p w:rsidR="003219E7" w:rsidRPr="00EC0706" w:rsidRDefault="00850359" w:rsidP="00850359">
            <w:pPr>
              <w:tabs>
                <w:tab w:val="left" w:pos="720"/>
              </w:tabs>
              <w:spacing w:before="0"/>
              <w:ind w:hanging="26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51</w:t>
            </w:r>
            <w:r w:rsidR="003219E7" w:rsidRPr="00EC0706">
              <w:rPr>
                <w:sz w:val="28"/>
                <w:szCs w:val="28"/>
                <w:lang w:val="uk-UA"/>
              </w:rPr>
              <w:t>,</w:t>
            </w:r>
            <w:r w:rsidRPr="00EC0706">
              <w:rPr>
                <w:sz w:val="28"/>
                <w:szCs w:val="28"/>
                <w:lang w:val="uk-UA"/>
              </w:rPr>
              <w:t>25</w:t>
            </w:r>
            <w:r w:rsidR="003219E7" w:rsidRPr="00EC070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3219E7" w:rsidRPr="00EC0706" w:rsidRDefault="00850359" w:rsidP="00850359">
            <w:pPr>
              <w:tabs>
                <w:tab w:val="left" w:pos="720"/>
              </w:tabs>
              <w:spacing w:before="0"/>
              <w:ind w:hanging="26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48</w:t>
            </w:r>
            <w:r w:rsidR="003219E7" w:rsidRPr="00EC0706">
              <w:rPr>
                <w:sz w:val="28"/>
                <w:szCs w:val="28"/>
                <w:lang w:val="uk-UA"/>
              </w:rPr>
              <w:t>,7</w:t>
            </w:r>
            <w:r w:rsidRPr="00EC0706">
              <w:rPr>
                <w:sz w:val="28"/>
                <w:szCs w:val="28"/>
                <w:lang w:val="uk-UA"/>
              </w:rPr>
              <w:t>5</w:t>
            </w:r>
            <w:r w:rsidR="003219E7" w:rsidRPr="00EC070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965" w:type="dxa"/>
            <w:noWrap/>
            <w:vAlign w:val="center"/>
          </w:tcPr>
          <w:p w:rsidR="003219E7" w:rsidRPr="00EC0706" w:rsidRDefault="003219E7" w:rsidP="00D32FB0">
            <w:pPr>
              <w:tabs>
                <w:tab w:val="left" w:pos="720"/>
              </w:tabs>
              <w:spacing w:before="0"/>
              <w:ind w:hanging="26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0%</w:t>
            </w:r>
          </w:p>
        </w:tc>
        <w:tc>
          <w:tcPr>
            <w:tcW w:w="1107" w:type="dxa"/>
            <w:noWrap/>
            <w:vAlign w:val="center"/>
          </w:tcPr>
          <w:p w:rsidR="003219E7" w:rsidRPr="00EC0706" w:rsidRDefault="003219E7" w:rsidP="00D32FB0">
            <w:pPr>
              <w:tabs>
                <w:tab w:val="left" w:pos="720"/>
              </w:tabs>
              <w:spacing w:before="0"/>
              <w:ind w:hanging="26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0%</w:t>
            </w:r>
          </w:p>
        </w:tc>
        <w:tc>
          <w:tcPr>
            <w:tcW w:w="1188" w:type="dxa"/>
            <w:noWrap/>
            <w:vAlign w:val="center"/>
          </w:tcPr>
          <w:p w:rsidR="003219E7" w:rsidRPr="00EC0706" w:rsidRDefault="003219E7" w:rsidP="00D32FB0">
            <w:pPr>
              <w:tabs>
                <w:tab w:val="left" w:pos="720"/>
              </w:tabs>
              <w:spacing w:before="0"/>
              <w:ind w:hanging="26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100%</w:t>
            </w:r>
          </w:p>
        </w:tc>
      </w:tr>
      <w:tr w:rsidR="003219E7" w:rsidRPr="00EC0706" w:rsidTr="0026606E">
        <w:trPr>
          <w:trHeight w:val="466"/>
        </w:trPr>
        <w:tc>
          <w:tcPr>
            <w:tcW w:w="2341" w:type="dxa"/>
            <w:vAlign w:val="center"/>
          </w:tcPr>
          <w:p w:rsidR="003219E7" w:rsidRPr="00EC0706" w:rsidRDefault="003219E7" w:rsidP="00D32FB0">
            <w:pPr>
              <w:spacing w:before="0"/>
              <w:ind w:hanging="40"/>
              <w:jc w:val="center"/>
              <w:textAlignment w:val="baseline"/>
              <w:rPr>
                <w:bCs/>
                <w:sz w:val="28"/>
                <w:szCs w:val="28"/>
                <w:lang w:val="uk-UA" w:eastAsia="uk-UA"/>
              </w:rPr>
            </w:pPr>
            <w:bookmarkStart w:id="5" w:name="n131"/>
            <w:bookmarkStart w:id="6" w:name="n132"/>
            <w:bookmarkStart w:id="7" w:name="n141"/>
            <w:bookmarkEnd w:id="5"/>
            <w:bookmarkEnd w:id="6"/>
            <w:bookmarkEnd w:id="7"/>
            <w:r w:rsidRPr="00EC0706">
              <w:rPr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4180" w:type="dxa"/>
            <w:gridSpan w:val="3"/>
            <w:vAlign w:val="center"/>
          </w:tcPr>
          <w:p w:rsidR="003219E7" w:rsidRPr="00EC0706" w:rsidRDefault="003219E7" w:rsidP="00D32FB0">
            <w:pPr>
              <w:spacing w:before="0"/>
              <w:ind w:hanging="37"/>
              <w:jc w:val="center"/>
              <w:textAlignment w:val="baseline"/>
              <w:rPr>
                <w:bCs/>
                <w:spacing w:val="-4"/>
                <w:sz w:val="28"/>
                <w:szCs w:val="28"/>
                <w:lang w:val="uk-UA" w:eastAsia="uk-UA"/>
              </w:rPr>
            </w:pPr>
            <w:r w:rsidRPr="00EC0706">
              <w:rPr>
                <w:bCs/>
                <w:spacing w:val="-4"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260" w:type="dxa"/>
            <w:gridSpan w:val="3"/>
            <w:vAlign w:val="center"/>
          </w:tcPr>
          <w:p w:rsidR="003219E7" w:rsidRPr="00EC0706" w:rsidRDefault="003219E7" w:rsidP="00D32FB0">
            <w:pPr>
              <w:spacing w:before="0"/>
              <w:ind w:hanging="37"/>
              <w:jc w:val="center"/>
              <w:textAlignment w:val="baseline"/>
              <w:rPr>
                <w:bCs/>
                <w:spacing w:val="-4"/>
                <w:sz w:val="28"/>
                <w:szCs w:val="28"/>
                <w:lang w:val="uk-UA" w:eastAsia="uk-UA"/>
              </w:rPr>
            </w:pPr>
            <w:r w:rsidRPr="00EC0706">
              <w:rPr>
                <w:bCs/>
                <w:spacing w:val="-4"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D769F9" w:rsidRPr="00EC0706" w:rsidTr="0026606E">
        <w:tc>
          <w:tcPr>
            <w:tcW w:w="2341" w:type="dxa"/>
          </w:tcPr>
          <w:p w:rsidR="00D769F9" w:rsidRPr="00EC0706" w:rsidRDefault="00D769F9" w:rsidP="00D769F9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Альтернатива 1</w:t>
            </w:r>
          </w:p>
          <w:p w:rsidR="00634467" w:rsidRPr="00EC0706" w:rsidRDefault="00634467" w:rsidP="00D769F9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D769F9" w:rsidRPr="00EC0706" w:rsidRDefault="00D769F9" w:rsidP="00D769F9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Залишення існуючої ситуації без змін</w:t>
            </w:r>
          </w:p>
        </w:tc>
        <w:tc>
          <w:tcPr>
            <w:tcW w:w="4180" w:type="dxa"/>
            <w:gridSpan w:val="3"/>
          </w:tcPr>
          <w:p w:rsidR="00D769F9" w:rsidRPr="00EC0706" w:rsidRDefault="00D769F9" w:rsidP="00D769F9">
            <w:pPr>
              <w:spacing w:before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260" w:type="dxa"/>
            <w:gridSpan w:val="3"/>
          </w:tcPr>
          <w:p w:rsidR="00D769F9" w:rsidRPr="00EC0706" w:rsidRDefault="0026606E" w:rsidP="00B548EA">
            <w:pPr>
              <w:spacing w:before="0"/>
              <w:ind w:firstLine="0"/>
              <w:jc w:val="left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/>
              </w:rPr>
              <w:t xml:space="preserve">Не дозволяє здійснювати прозору оцінку готовності </w:t>
            </w:r>
            <w:r w:rsidR="00B548EA" w:rsidRPr="00EC0706">
              <w:rPr>
                <w:sz w:val="28"/>
                <w:szCs w:val="28"/>
                <w:lang w:val="uk-UA"/>
              </w:rPr>
              <w:t>об’єктів у сфері теплопостачання до роботи в опалювальний період</w:t>
            </w:r>
          </w:p>
        </w:tc>
      </w:tr>
      <w:tr w:rsidR="00D769F9" w:rsidRPr="00EC0706" w:rsidTr="0026606E">
        <w:tc>
          <w:tcPr>
            <w:tcW w:w="2341" w:type="dxa"/>
          </w:tcPr>
          <w:p w:rsidR="00D769F9" w:rsidRPr="00EC0706" w:rsidRDefault="00D769F9" w:rsidP="00D769F9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Альтернатива 2</w:t>
            </w:r>
          </w:p>
          <w:p w:rsidR="00634467" w:rsidRPr="00EC0706" w:rsidRDefault="00634467" w:rsidP="00D769F9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D769F9" w:rsidRPr="00EC0706" w:rsidRDefault="00D769F9" w:rsidP="00D769F9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Прийняття проєкту наказу</w:t>
            </w:r>
          </w:p>
        </w:tc>
        <w:tc>
          <w:tcPr>
            <w:tcW w:w="4180" w:type="dxa"/>
            <w:gridSpan w:val="3"/>
          </w:tcPr>
          <w:p w:rsidR="00D769F9" w:rsidRPr="00EC0706" w:rsidRDefault="0026606E" w:rsidP="00B548EA">
            <w:pPr>
              <w:spacing w:before="0"/>
              <w:ind w:firstLine="0"/>
              <w:jc w:val="left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Забезпечить надійне</w:t>
            </w:r>
            <w:r w:rsidR="00B548EA" w:rsidRPr="00EC0706">
              <w:rPr>
                <w:sz w:val="28"/>
                <w:szCs w:val="28"/>
                <w:lang w:val="uk-UA"/>
              </w:rPr>
              <w:t xml:space="preserve"> і безперебійне (стабільне) постачання споживачів тепловою енергією та </w:t>
            </w:r>
            <w:r w:rsidR="00B548EA" w:rsidRPr="00EC0706">
              <w:rPr>
                <w:color w:val="000000"/>
                <w:sz w:val="28"/>
                <w:szCs w:val="28"/>
                <w:lang w:val="uk-UA"/>
              </w:rPr>
              <w:t>надійне функціонування систем теплопостачання протягом опалювального періоду,</w:t>
            </w:r>
            <w:r w:rsidRPr="00EC0706">
              <w:rPr>
                <w:sz w:val="28"/>
                <w:szCs w:val="28"/>
                <w:lang w:val="uk-UA"/>
              </w:rPr>
              <w:t xml:space="preserve"> надасть можливість забезпечити дієвий контроль з оцінки обґрунтованості рішень суб’єктів </w:t>
            </w:r>
            <w:r w:rsidR="00B548EA" w:rsidRPr="00EC0706">
              <w:rPr>
                <w:sz w:val="28"/>
                <w:szCs w:val="28"/>
                <w:lang w:val="uk-UA"/>
              </w:rPr>
              <w:t>господарювання у сфері теплопостачання</w:t>
            </w:r>
            <w:r w:rsidRPr="00EC0706">
              <w:rPr>
                <w:sz w:val="28"/>
                <w:szCs w:val="28"/>
                <w:lang w:val="uk-UA"/>
              </w:rPr>
              <w:t xml:space="preserve"> стосовно </w:t>
            </w:r>
            <w:r w:rsidR="00B548EA" w:rsidRPr="00EC0706">
              <w:rPr>
                <w:sz w:val="28"/>
                <w:szCs w:val="28"/>
                <w:lang w:val="uk-UA"/>
              </w:rPr>
              <w:t>готовності</w:t>
            </w:r>
            <w:r w:rsidRPr="00EC0706">
              <w:rPr>
                <w:sz w:val="28"/>
                <w:szCs w:val="28"/>
                <w:lang w:val="uk-UA"/>
              </w:rPr>
              <w:t xml:space="preserve"> об’єктів </w:t>
            </w:r>
            <w:r w:rsidR="00B548EA" w:rsidRPr="00EC0706">
              <w:rPr>
                <w:sz w:val="28"/>
                <w:szCs w:val="28"/>
                <w:lang w:val="uk-UA"/>
              </w:rPr>
              <w:t xml:space="preserve">у сфері теплопостачання до роботи в опалювальний період </w:t>
            </w:r>
          </w:p>
        </w:tc>
        <w:tc>
          <w:tcPr>
            <w:tcW w:w="3260" w:type="dxa"/>
            <w:gridSpan w:val="3"/>
          </w:tcPr>
          <w:p w:rsidR="00D769F9" w:rsidRPr="00EC0706" w:rsidRDefault="00D769F9" w:rsidP="00D769F9">
            <w:pPr>
              <w:spacing w:before="0"/>
              <w:ind w:firstLine="0"/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 w:eastAsia="uk-UA"/>
              </w:rPr>
              <w:t>Відсутні</w:t>
            </w:r>
          </w:p>
        </w:tc>
      </w:tr>
    </w:tbl>
    <w:p w:rsidR="00897EF9" w:rsidRPr="00EC0706" w:rsidRDefault="00897EF9" w:rsidP="00D32FB0">
      <w:pPr>
        <w:spacing w:before="0"/>
        <w:ind w:firstLine="0"/>
        <w:rPr>
          <w:sz w:val="28"/>
          <w:szCs w:val="28"/>
          <w:lang w:val="uk-UA"/>
        </w:rPr>
      </w:pPr>
    </w:p>
    <w:p w:rsidR="00327DC1" w:rsidRPr="00EC0706" w:rsidRDefault="0026606E" w:rsidP="00FB3CAE">
      <w:pPr>
        <w:spacing w:before="0"/>
        <w:rPr>
          <w:sz w:val="28"/>
          <w:szCs w:val="28"/>
          <w:lang w:val="uk-UA"/>
        </w:rPr>
      </w:pPr>
      <w:r w:rsidRPr="00C076AA">
        <w:rPr>
          <w:sz w:val="28"/>
          <w:szCs w:val="28"/>
          <w:lang w:val="uk-UA"/>
        </w:rPr>
        <w:t>Внаслідок дії регуляторного акта додаткові суми витрат у суб’єктів господарювання відсутні.</w:t>
      </w:r>
    </w:p>
    <w:p w:rsidR="00555DAF" w:rsidRPr="00EC0706" w:rsidRDefault="00555DAF" w:rsidP="00D32FB0">
      <w:pPr>
        <w:spacing w:before="0"/>
        <w:ind w:right="204" w:firstLine="0"/>
        <w:rPr>
          <w:b/>
          <w:bCs/>
          <w:sz w:val="28"/>
          <w:szCs w:val="28"/>
          <w:lang w:val="uk-UA"/>
        </w:rPr>
      </w:pPr>
    </w:p>
    <w:p w:rsidR="003219E7" w:rsidRPr="00EC0706" w:rsidRDefault="00555DAF" w:rsidP="00D32FB0">
      <w:pPr>
        <w:spacing w:before="0"/>
        <w:ind w:right="204" w:firstLine="0"/>
        <w:jc w:val="center"/>
        <w:rPr>
          <w:b/>
          <w:bCs/>
          <w:sz w:val="28"/>
          <w:szCs w:val="28"/>
          <w:lang w:val="uk-UA"/>
        </w:rPr>
      </w:pPr>
      <w:r w:rsidRPr="00EC0706">
        <w:rPr>
          <w:b/>
          <w:bCs/>
          <w:sz w:val="28"/>
          <w:szCs w:val="28"/>
          <w:lang w:val="uk-UA"/>
        </w:rPr>
        <w:t xml:space="preserve">IV. </w:t>
      </w:r>
      <w:r w:rsidR="003219E7" w:rsidRPr="00EC0706">
        <w:rPr>
          <w:b/>
          <w:bCs/>
          <w:sz w:val="28"/>
          <w:szCs w:val="28"/>
          <w:lang w:val="uk-UA"/>
        </w:rPr>
        <w:t>Вибір найбільш оптимального альтернативного способу досягнення цілей</w:t>
      </w:r>
    </w:p>
    <w:p w:rsidR="00897EF9" w:rsidRPr="00EC0706" w:rsidRDefault="00897EF9" w:rsidP="00D32FB0">
      <w:pPr>
        <w:spacing w:before="0"/>
        <w:ind w:right="204"/>
        <w:rPr>
          <w:b/>
          <w:bCs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552"/>
        <w:gridCol w:w="4394"/>
      </w:tblGrid>
      <w:tr w:rsidR="002A5501" w:rsidRPr="00EC0706" w:rsidTr="0082102A">
        <w:trPr>
          <w:trHeight w:val="1417"/>
        </w:trPr>
        <w:tc>
          <w:tcPr>
            <w:tcW w:w="2835" w:type="dxa"/>
            <w:vAlign w:val="center"/>
          </w:tcPr>
          <w:p w:rsidR="003219E7" w:rsidRPr="00EC0706" w:rsidRDefault="0082102A" w:rsidP="00D32FB0">
            <w:pPr>
              <w:spacing w:before="0"/>
              <w:ind w:firstLine="0"/>
              <w:jc w:val="center"/>
              <w:textAlignment w:val="baseline"/>
              <w:rPr>
                <w:bCs/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52" w:type="dxa"/>
            <w:vAlign w:val="center"/>
          </w:tcPr>
          <w:p w:rsidR="0082102A" w:rsidRPr="00EC0706" w:rsidRDefault="00BF6236" w:rsidP="00D32FB0">
            <w:pPr>
              <w:spacing w:before="0"/>
              <w:ind w:firstLine="0"/>
              <w:jc w:val="center"/>
              <w:textAlignment w:val="baseline"/>
              <w:rPr>
                <w:bCs/>
                <w:sz w:val="28"/>
                <w:szCs w:val="28"/>
                <w:lang w:val="uk-UA" w:eastAsia="uk-UA"/>
              </w:rPr>
            </w:pPr>
            <w:r w:rsidRPr="00EC0706">
              <w:rPr>
                <w:bCs/>
                <w:sz w:val="28"/>
                <w:szCs w:val="28"/>
                <w:lang w:val="uk-UA" w:eastAsia="uk-UA"/>
              </w:rPr>
              <w:t xml:space="preserve">Бал </w:t>
            </w:r>
          </w:p>
          <w:p w:rsidR="003219E7" w:rsidRPr="00EC0706" w:rsidRDefault="00BF6236" w:rsidP="00D32FB0">
            <w:pPr>
              <w:spacing w:before="0"/>
              <w:ind w:firstLine="0"/>
              <w:jc w:val="center"/>
              <w:textAlignment w:val="baseline"/>
              <w:rPr>
                <w:bCs/>
                <w:sz w:val="28"/>
                <w:szCs w:val="28"/>
                <w:lang w:val="uk-UA" w:eastAsia="uk-UA"/>
              </w:rPr>
            </w:pPr>
            <w:r w:rsidRPr="00EC0706">
              <w:rPr>
                <w:bCs/>
                <w:sz w:val="28"/>
                <w:szCs w:val="28"/>
                <w:lang w:val="uk-UA" w:eastAsia="uk-UA"/>
              </w:rPr>
              <w:t>результа</w:t>
            </w:r>
            <w:r w:rsidR="003219E7" w:rsidRPr="00EC0706">
              <w:rPr>
                <w:bCs/>
                <w:sz w:val="28"/>
                <w:szCs w:val="28"/>
                <w:lang w:val="uk-UA" w:eastAsia="uk-UA"/>
              </w:rPr>
              <w:t>тивності</w:t>
            </w:r>
            <w:r w:rsidR="003219E7" w:rsidRPr="00EC0706">
              <w:rPr>
                <w:bCs/>
                <w:sz w:val="28"/>
                <w:szCs w:val="28"/>
                <w:lang w:val="uk-UA" w:eastAsia="uk-UA"/>
              </w:rPr>
              <w:br/>
              <w:t xml:space="preserve">(за </w:t>
            </w:r>
            <w:r w:rsidRPr="00EC0706">
              <w:rPr>
                <w:bCs/>
                <w:sz w:val="28"/>
                <w:szCs w:val="28"/>
                <w:lang w:val="uk-UA" w:eastAsia="uk-UA"/>
              </w:rPr>
              <w:t>чотири</w:t>
            </w:r>
            <w:r w:rsidR="003219E7" w:rsidRPr="00EC0706">
              <w:rPr>
                <w:bCs/>
                <w:sz w:val="28"/>
                <w:szCs w:val="28"/>
                <w:lang w:val="uk-UA" w:eastAsia="uk-UA"/>
              </w:rPr>
              <w:t>бальною системою оцінки)</w:t>
            </w:r>
          </w:p>
        </w:tc>
        <w:tc>
          <w:tcPr>
            <w:tcW w:w="4394" w:type="dxa"/>
            <w:vAlign w:val="center"/>
          </w:tcPr>
          <w:p w:rsidR="003219E7" w:rsidRPr="00EC0706" w:rsidRDefault="003219E7" w:rsidP="00D32FB0">
            <w:pPr>
              <w:spacing w:before="0"/>
              <w:ind w:firstLine="0"/>
              <w:jc w:val="center"/>
              <w:textAlignment w:val="baseline"/>
              <w:rPr>
                <w:bCs/>
                <w:sz w:val="28"/>
                <w:szCs w:val="28"/>
                <w:lang w:val="uk-UA" w:eastAsia="uk-UA"/>
              </w:rPr>
            </w:pPr>
            <w:r w:rsidRPr="00EC0706">
              <w:rPr>
                <w:bCs/>
                <w:sz w:val="28"/>
                <w:szCs w:val="28"/>
                <w:lang w:val="uk-UA" w:eastAsia="uk-UA"/>
              </w:rPr>
              <w:t>Коментарі щ</w:t>
            </w:r>
            <w:r w:rsidR="007626C2" w:rsidRPr="00EC0706">
              <w:rPr>
                <w:bCs/>
                <w:sz w:val="28"/>
                <w:szCs w:val="28"/>
                <w:lang w:val="uk-UA" w:eastAsia="uk-UA"/>
              </w:rPr>
              <w:t>одо присвоєння відповідного балу</w:t>
            </w:r>
          </w:p>
        </w:tc>
      </w:tr>
      <w:tr w:rsidR="003219E7" w:rsidRPr="00EC0706" w:rsidTr="0082102A">
        <w:trPr>
          <w:trHeight w:val="1709"/>
        </w:trPr>
        <w:tc>
          <w:tcPr>
            <w:tcW w:w="2835" w:type="dxa"/>
          </w:tcPr>
          <w:p w:rsidR="0082102A" w:rsidRPr="00EC0706" w:rsidRDefault="0082102A" w:rsidP="0082102A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lastRenderedPageBreak/>
              <w:t>Альтернатива 1</w:t>
            </w:r>
          </w:p>
          <w:p w:rsidR="00634467" w:rsidRPr="00EC0706" w:rsidRDefault="00634467" w:rsidP="0082102A">
            <w:pPr>
              <w:spacing w:before="0"/>
              <w:ind w:hanging="37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3219E7" w:rsidRPr="00EC0706" w:rsidRDefault="0082102A" w:rsidP="0082102A">
            <w:pPr>
              <w:spacing w:before="0"/>
              <w:ind w:hanging="37"/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/>
              </w:rPr>
              <w:t>Залишення існуючої ситуації без змін</w:t>
            </w:r>
          </w:p>
        </w:tc>
        <w:tc>
          <w:tcPr>
            <w:tcW w:w="2552" w:type="dxa"/>
          </w:tcPr>
          <w:p w:rsidR="003219E7" w:rsidRPr="00EC0706" w:rsidRDefault="0082102A" w:rsidP="009F4AB7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394" w:type="dxa"/>
          </w:tcPr>
          <w:p w:rsidR="003219E7" w:rsidRPr="00EC0706" w:rsidRDefault="0082102A" w:rsidP="0082102A">
            <w:pPr>
              <w:spacing w:before="0"/>
              <w:ind w:firstLine="0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/>
              </w:rPr>
              <w:t xml:space="preserve">Загроза виникнення </w:t>
            </w:r>
            <w:r w:rsidR="00751AA4">
              <w:rPr>
                <w:sz w:val="28"/>
                <w:szCs w:val="28"/>
                <w:lang w:val="uk-UA"/>
              </w:rPr>
              <w:t xml:space="preserve">випадків </w:t>
            </w:r>
            <w:r w:rsidRPr="00EC0706">
              <w:rPr>
                <w:sz w:val="28"/>
                <w:szCs w:val="28"/>
                <w:lang w:val="uk-UA"/>
              </w:rPr>
              <w:t>відсутності постачання тепловою енергією продовжить існувати.</w:t>
            </w:r>
          </w:p>
        </w:tc>
      </w:tr>
      <w:tr w:rsidR="003219E7" w:rsidRPr="00EC0706" w:rsidTr="0082102A">
        <w:trPr>
          <w:trHeight w:val="1124"/>
        </w:trPr>
        <w:tc>
          <w:tcPr>
            <w:tcW w:w="2835" w:type="dxa"/>
          </w:tcPr>
          <w:p w:rsidR="0082102A" w:rsidRPr="00EC0706" w:rsidRDefault="0082102A" w:rsidP="0082102A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Альтернатива 2</w:t>
            </w:r>
          </w:p>
          <w:p w:rsidR="00634467" w:rsidRPr="00EC0706" w:rsidRDefault="00634467" w:rsidP="0082102A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3219E7" w:rsidRPr="00EC0706" w:rsidRDefault="0082102A" w:rsidP="0082102A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/>
              </w:rPr>
              <w:t>Прийняття проєкту наказу</w:t>
            </w:r>
          </w:p>
        </w:tc>
        <w:tc>
          <w:tcPr>
            <w:tcW w:w="2552" w:type="dxa"/>
          </w:tcPr>
          <w:p w:rsidR="003219E7" w:rsidRPr="00EC0706" w:rsidRDefault="0082102A" w:rsidP="009F4AB7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394" w:type="dxa"/>
          </w:tcPr>
          <w:p w:rsidR="003219E7" w:rsidRPr="00EC0706" w:rsidRDefault="0082102A" w:rsidP="00174810">
            <w:pPr>
              <w:spacing w:before="0"/>
              <w:ind w:firstLine="0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/>
              </w:rPr>
              <w:t>Цілі прийняття регуляторного акта будуть досягнуті. Дозволяє вирішити проблему найбільш ефективним шляхом та забезпечує виконання вимог законодавства.</w:t>
            </w:r>
          </w:p>
        </w:tc>
      </w:tr>
    </w:tbl>
    <w:p w:rsidR="00BD29AF" w:rsidRPr="00EC0706" w:rsidRDefault="00BD29AF" w:rsidP="00D32FB0">
      <w:pPr>
        <w:spacing w:before="0"/>
        <w:ind w:right="203" w:firstLine="0"/>
        <w:rPr>
          <w:b/>
          <w:bCs/>
          <w:sz w:val="28"/>
          <w:szCs w:val="28"/>
          <w:lang w:val="uk-UA"/>
        </w:rPr>
      </w:pPr>
    </w:p>
    <w:p w:rsidR="00327DC1" w:rsidRPr="00EC0706" w:rsidRDefault="00327DC1" w:rsidP="00D32FB0">
      <w:pPr>
        <w:spacing w:before="0"/>
        <w:ind w:right="203" w:firstLine="0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X="1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5"/>
        <w:gridCol w:w="2736"/>
        <w:gridCol w:w="1843"/>
        <w:gridCol w:w="2693"/>
      </w:tblGrid>
      <w:tr w:rsidR="003219E7" w:rsidRPr="00EC0706" w:rsidTr="0082102A">
        <w:trPr>
          <w:trHeight w:val="1124"/>
        </w:trPr>
        <w:tc>
          <w:tcPr>
            <w:tcW w:w="2475" w:type="dxa"/>
            <w:vAlign w:val="center"/>
          </w:tcPr>
          <w:p w:rsidR="003219E7" w:rsidRPr="00EC0706" w:rsidRDefault="003219E7" w:rsidP="0082102A">
            <w:pPr>
              <w:spacing w:before="0"/>
              <w:ind w:firstLine="0"/>
              <w:jc w:val="center"/>
              <w:textAlignment w:val="baseline"/>
              <w:rPr>
                <w:bCs/>
                <w:sz w:val="28"/>
                <w:szCs w:val="28"/>
                <w:lang w:val="uk-UA" w:eastAsia="uk-UA"/>
              </w:rPr>
            </w:pPr>
            <w:r w:rsidRPr="00EC0706">
              <w:rPr>
                <w:bCs/>
                <w:sz w:val="28"/>
                <w:szCs w:val="28"/>
                <w:lang w:val="uk-UA" w:eastAsia="uk-UA"/>
              </w:rPr>
              <w:t>Рейтинг результативності</w:t>
            </w:r>
          </w:p>
        </w:tc>
        <w:tc>
          <w:tcPr>
            <w:tcW w:w="2736" w:type="dxa"/>
            <w:vAlign w:val="center"/>
          </w:tcPr>
          <w:p w:rsidR="003219E7" w:rsidRPr="00EC0706" w:rsidRDefault="003219E7" w:rsidP="0082102A">
            <w:pPr>
              <w:spacing w:before="0"/>
              <w:ind w:left="-73" w:right="-116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C0706">
              <w:rPr>
                <w:bCs/>
                <w:sz w:val="28"/>
                <w:szCs w:val="28"/>
                <w:lang w:val="uk-UA"/>
              </w:rPr>
              <w:t>Вигоди</w:t>
            </w:r>
            <w:r w:rsidR="0082102A" w:rsidRPr="00EC070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C0706">
              <w:rPr>
                <w:bCs/>
                <w:sz w:val="28"/>
                <w:szCs w:val="28"/>
                <w:lang w:val="uk-UA"/>
              </w:rPr>
              <w:t>(підсумок)</w:t>
            </w:r>
          </w:p>
        </w:tc>
        <w:tc>
          <w:tcPr>
            <w:tcW w:w="1843" w:type="dxa"/>
            <w:vAlign w:val="center"/>
          </w:tcPr>
          <w:p w:rsidR="003219E7" w:rsidRPr="00EC0706" w:rsidRDefault="003219E7" w:rsidP="0082102A">
            <w:pPr>
              <w:spacing w:before="0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C0706">
              <w:rPr>
                <w:bCs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693" w:type="dxa"/>
            <w:vAlign w:val="center"/>
          </w:tcPr>
          <w:p w:rsidR="003219E7" w:rsidRPr="00EC0706" w:rsidRDefault="00A11CC8" w:rsidP="0082102A">
            <w:pPr>
              <w:spacing w:before="0"/>
              <w:ind w:firstLine="0"/>
              <w:jc w:val="center"/>
              <w:textAlignment w:val="baseline"/>
              <w:rPr>
                <w:bCs/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3219E7" w:rsidRPr="00EC0706" w:rsidTr="0082102A">
        <w:tc>
          <w:tcPr>
            <w:tcW w:w="2475" w:type="dxa"/>
          </w:tcPr>
          <w:p w:rsidR="0082102A" w:rsidRPr="00EC0706" w:rsidRDefault="0082102A" w:rsidP="0082102A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Альтернатива 1</w:t>
            </w:r>
          </w:p>
          <w:p w:rsidR="00634467" w:rsidRPr="00EC0706" w:rsidRDefault="00634467" w:rsidP="0082102A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3219E7" w:rsidRPr="00EC0706" w:rsidRDefault="0082102A" w:rsidP="0082102A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Залишення існуючої ситуації без змін</w:t>
            </w:r>
          </w:p>
        </w:tc>
        <w:tc>
          <w:tcPr>
            <w:tcW w:w="2736" w:type="dxa"/>
          </w:tcPr>
          <w:p w:rsidR="003219E7" w:rsidRPr="00EC0706" w:rsidRDefault="00A11CC8" w:rsidP="00A11CC8">
            <w:pPr>
              <w:pStyle w:val="11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06">
              <w:rPr>
                <w:rFonts w:ascii="Times New Roman" w:hAnsi="Times New Roman" w:cs="Times New Roman"/>
                <w:spacing w:val="-4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1843" w:type="dxa"/>
          </w:tcPr>
          <w:p w:rsidR="003219E7" w:rsidRPr="00EC0706" w:rsidRDefault="003219E7" w:rsidP="00A11CC8">
            <w:pPr>
              <w:spacing w:before="0"/>
              <w:ind w:firstLine="0"/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EC0706">
              <w:rPr>
                <w:spacing w:val="-4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2693" w:type="dxa"/>
          </w:tcPr>
          <w:p w:rsidR="003219E7" w:rsidRPr="00EC0706" w:rsidRDefault="00A11CC8" w:rsidP="00855E74">
            <w:pPr>
              <w:spacing w:before="0"/>
              <w:ind w:firstLine="0"/>
              <w:jc w:val="left"/>
              <w:textAlignment w:val="baseline"/>
              <w:rPr>
                <w:spacing w:val="-4"/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 xml:space="preserve">Загроза виникнення </w:t>
            </w:r>
            <w:r w:rsidR="00751AA4">
              <w:rPr>
                <w:sz w:val="28"/>
                <w:szCs w:val="28"/>
                <w:lang w:val="uk-UA"/>
              </w:rPr>
              <w:t xml:space="preserve">випадків </w:t>
            </w:r>
            <w:r w:rsidRPr="00EC0706">
              <w:rPr>
                <w:sz w:val="28"/>
                <w:szCs w:val="28"/>
                <w:lang w:val="uk-UA"/>
              </w:rPr>
              <w:t>відсутності постачання тепловою енергією у період низьких температур, що призведе до соціальної напруженості.</w:t>
            </w:r>
          </w:p>
        </w:tc>
      </w:tr>
      <w:tr w:rsidR="003219E7" w:rsidRPr="00EC0706" w:rsidTr="0082102A">
        <w:tc>
          <w:tcPr>
            <w:tcW w:w="2475" w:type="dxa"/>
          </w:tcPr>
          <w:p w:rsidR="0082102A" w:rsidRPr="00EC0706" w:rsidRDefault="0082102A" w:rsidP="0082102A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Альтернатива 2</w:t>
            </w:r>
          </w:p>
          <w:p w:rsidR="00634467" w:rsidRPr="00EC0706" w:rsidRDefault="00634467" w:rsidP="0082102A">
            <w:pPr>
              <w:spacing w:before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3219E7" w:rsidRPr="00EC0706" w:rsidRDefault="0082102A" w:rsidP="0082102A">
            <w:pPr>
              <w:spacing w:before="0"/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Прийняття проєкту наказу</w:t>
            </w:r>
          </w:p>
        </w:tc>
        <w:tc>
          <w:tcPr>
            <w:tcW w:w="2736" w:type="dxa"/>
          </w:tcPr>
          <w:p w:rsidR="00855E74" w:rsidRPr="00EC0706" w:rsidRDefault="00855E74" w:rsidP="00855E74">
            <w:pPr>
              <w:pStyle w:val="a8"/>
              <w:spacing w:before="0"/>
              <w:ind w:right="-11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</w:p>
          <w:p w:rsidR="003219E7" w:rsidRPr="00EC0706" w:rsidRDefault="00855E74" w:rsidP="00855E74">
            <w:pPr>
              <w:pStyle w:val="a8"/>
              <w:spacing w:before="0"/>
              <w:ind w:right="-11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ефективне виконання завдань державного регулювання</w:t>
            </w:r>
          </w:p>
        </w:tc>
        <w:tc>
          <w:tcPr>
            <w:tcW w:w="1843" w:type="dxa"/>
          </w:tcPr>
          <w:p w:rsidR="003219E7" w:rsidRPr="00EC0706" w:rsidRDefault="00855E74" w:rsidP="00855E74">
            <w:pPr>
              <w:pStyle w:val="11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706">
              <w:rPr>
                <w:rFonts w:ascii="Times New Roman" w:hAnsi="Times New Roman" w:cs="Times New Roman"/>
                <w:spacing w:val="-4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2693" w:type="dxa"/>
          </w:tcPr>
          <w:p w:rsidR="003219E7" w:rsidRPr="00EC0706" w:rsidRDefault="00855E74" w:rsidP="00174810">
            <w:pPr>
              <w:pStyle w:val="11"/>
              <w:spacing w:before="0"/>
              <w:ind w:firstLine="0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uk-UA"/>
              </w:rPr>
            </w:pPr>
            <w:r w:rsidRPr="00EC0706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надійного і безперебійного (стабільного) постачання споживачів тепловою енергією протягом опалювального </w:t>
            </w:r>
            <w:r w:rsidR="00174810">
              <w:rPr>
                <w:rFonts w:ascii="Times New Roman" w:hAnsi="Times New Roman" w:cs="Times New Roman"/>
                <w:sz w:val="28"/>
                <w:szCs w:val="28"/>
              </w:rPr>
              <w:t>періоду</w:t>
            </w:r>
          </w:p>
        </w:tc>
      </w:tr>
    </w:tbl>
    <w:p w:rsidR="005C7416" w:rsidRPr="00EC0706" w:rsidRDefault="005C7416" w:rsidP="00D32FB0">
      <w:pPr>
        <w:spacing w:before="0"/>
        <w:ind w:firstLine="0"/>
        <w:rPr>
          <w:sz w:val="28"/>
          <w:szCs w:val="28"/>
          <w:lang w:val="uk-UA"/>
        </w:rPr>
      </w:pPr>
    </w:p>
    <w:p w:rsidR="00327DC1" w:rsidRPr="00EC0706" w:rsidRDefault="00327DC1" w:rsidP="00D32FB0">
      <w:pPr>
        <w:spacing w:before="0"/>
        <w:ind w:firstLine="0"/>
        <w:rPr>
          <w:sz w:val="28"/>
          <w:szCs w:val="28"/>
          <w:lang w:val="uk-UA"/>
        </w:rPr>
      </w:pPr>
    </w:p>
    <w:tbl>
      <w:tblPr>
        <w:tblpPr w:leftFromText="180" w:rightFromText="180" w:vertAnchor="text" w:tblpX="14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935"/>
        <w:gridCol w:w="3402"/>
      </w:tblGrid>
      <w:tr w:rsidR="003219E7" w:rsidRPr="00EC0706" w:rsidTr="00634467">
        <w:trPr>
          <w:cantSplit/>
          <w:trHeight w:val="371"/>
        </w:trPr>
        <w:tc>
          <w:tcPr>
            <w:tcW w:w="2410" w:type="dxa"/>
            <w:vAlign w:val="center"/>
          </w:tcPr>
          <w:p w:rsidR="003219E7" w:rsidRPr="00EC0706" w:rsidRDefault="003219E7" w:rsidP="00634467">
            <w:pPr>
              <w:spacing w:before="0"/>
              <w:ind w:firstLine="33"/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C0706">
              <w:rPr>
                <w:bCs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3935" w:type="dxa"/>
            <w:vAlign w:val="center"/>
          </w:tcPr>
          <w:p w:rsidR="003219E7" w:rsidRPr="00EC0706" w:rsidRDefault="003219E7" w:rsidP="00634467">
            <w:pPr>
              <w:spacing w:before="0"/>
              <w:ind w:hanging="41"/>
              <w:jc w:val="center"/>
              <w:textAlignment w:val="baseline"/>
              <w:rPr>
                <w:bCs/>
                <w:sz w:val="28"/>
                <w:szCs w:val="28"/>
                <w:lang w:val="uk-UA" w:eastAsia="uk-UA"/>
              </w:rPr>
            </w:pPr>
            <w:r w:rsidRPr="00EC0706">
              <w:rPr>
                <w:bCs/>
                <w:sz w:val="28"/>
                <w:szCs w:val="28"/>
                <w:shd w:val="clear" w:color="auto" w:fill="FFFFFF"/>
                <w:lang w:val="uk-UA"/>
              </w:rPr>
              <w:t>Аргументи щодо</w:t>
            </w:r>
            <w:r w:rsidR="00634467" w:rsidRPr="00EC0706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C0706">
              <w:rPr>
                <w:bCs/>
                <w:sz w:val="28"/>
                <w:szCs w:val="28"/>
                <w:shd w:val="clear" w:color="auto" w:fill="FFFFFF"/>
                <w:lang w:val="uk-UA"/>
              </w:rPr>
              <w:t>переваги обраної альтернативи/причини відмови від альтернативи</w:t>
            </w:r>
          </w:p>
        </w:tc>
        <w:tc>
          <w:tcPr>
            <w:tcW w:w="3402" w:type="dxa"/>
            <w:vAlign w:val="center"/>
          </w:tcPr>
          <w:p w:rsidR="003219E7" w:rsidRPr="00EC0706" w:rsidRDefault="003219E7" w:rsidP="00634467">
            <w:pPr>
              <w:spacing w:before="0"/>
              <w:ind w:firstLine="33"/>
              <w:jc w:val="center"/>
              <w:textAlignment w:val="baseline"/>
              <w:rPr>
                <w:bCs/>
                <w:sz w:val="28"/>
                <w:szCs w:val="28"/>
                <w:lang w:val="uk-UA" w:eastAsia="uk-UA"/>
              </w:rPr>
            </w:pPr>
            <w:r w:rsidRPr="00EC0706">
              <w:rPr>
                <w:bCs/>
                <w:sz w:val="28"/>
                <w:szCs w:val="28"/>
                <w:shd w:val="clear" w:color="auto" w:fill="FFFFFF"/>
                <w:lang w:val="uk-UA"/>
              </w:rPr>
              <w:t>Оцінка ризику зовнішніх чинників на дію за</w:t>
            </w:r>
            <w:r w:rsidR="00050980" w:rsidRPr="00EC0706">
              <w:rPr>
                <w:bCs/>
                <w:sz w:val="28"/>
                <w:szCs w:val="28"/>
                <w:shd w:val="clear" w:color="auto" w:fill="FFFFFF"/>
                <w:lang w:val="uk-UA"/>
              </w:rPr>
              <w:t>пропонованого регуляторного акта</w:t>
            </w:r>
          </w:p>
        </w:tc>
      </w:tr>
      <w:tr w:rsidR="00BA5647" w:rsidRPr="00EC0706" w:rsidTr="00634467">
        <w:trPr>
          <w:cantSplit/>
          <w:trHeight w:val="1325"/>
        </w:trPr>
        <w:tc>
          <w:tcPr>
            <w:tcW w:w="2410" w:type="dxa"/>
          </w:tcPr>
          <w:p w:rsidR="00BA5647" w:rsidRPr="00EC0706" w:rsidRDefault="00BA5647" w:rsidP="00BA5647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lastRenderedPageBreak/>
              <w:t>Альтернатива 1</w:t>
            </w:r>
          </w:p>
          <w:p w:rsidR="00BA5647" w:rsidRPr="00EC0706" w:rsidRDefault="00BA5647" w:rsidP="00BA5647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  <w:p w:rsidR="00BA5647" w:rsidRPr="00EC0706" w:rsidRDefault="00BA5647" w:rsidP="00BA5647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Залишення існуючої ситуації без змін</w:t>
            </w:r>
          </w:p>
        </w:tc>
        <w:tc>
          <w:tcPr>
            <w:tcW w:w="3935" w:type="dxa"/>
            <w:vAlign w:val="center"/>
          </w:tcPr>
          <w:p w:rsidR="00BA5647" w:rsidRPr="00EC0706" w:rsidRDefault="00BA5647" w:rsidP="00174810">
            <w:pPr>
              <w:spacing w:before="0"/>
              <w:ind w:firstLine="0"/>
              <w:jc w:val="left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 xml:space="preserve">Не забезпечує врегулювання визначеної проблеми, оскільки вимоги </w:t>
            </w:r>
            <w:r w:rsidR="00366D23" w:rsidRPr="00EC0706">
              <w:rPr>
                <w:sz w:val="28"/>
                <w:szCs w:val="28"/>
                <w:lang w:val="uk-UA" w:eastAsia="uk-UA"/>
              </w:rPr>
              <w:t xml:space="preserve"> Правил підготовки теплових господарств до опалювального періоду</w:t>
            </w:r>
            <w:r w:rsidR="00366D23" w:rsidRPr="00EC0706">
              <w:rPr>
                <w:sz w:val="28"/>
                <w:szCs w:val="28"/>
                <w:lang w:val="uk-UA"/>
              </w:rPr>
              <w:t xml:space="preserve"> </w:t>
            </w:r>
            <w:r w:rsidRPr="00EC0706">
              <w:rPr>
                <w:sz w:val="28"/>
                <w:szCs w:val="28"/>
                <w:lang w:val="uk-UA"/>
              </w:rPr>
              <w:t>не відповідають законодавству,</w:t>
            </w:r>
            <w:r w:rsidR="00DD6C18" w:rsidRPr="00EC0706">
              <w:rPr>
                <w:sz w:val="28"/>
                <w:szCs w:val="28"/>
                <w:lang w:val="uk-UA"/>
              </w:rPr>
              <w:t xml:space="preserve"> </w:t>
            </w:r>
            <w:r w:rsidRPr="00EC0706">
              <w:rPr>
                <w:sz w:val="28"/>
                <w:szCs w:val="28"/>
                <w:lang w:val="uk-UA"/>
              </w:rPr>
              <w:t xml:space="preserve">що дозволяє суб’єктам </w:t>
            </w:r>
            <w:r w:rsidR="00366D23" w:rsidRPr="00EC0706">
              <w:rPr>
                <w:bCs/>
                <w:sz w:val="28"/>
                <w:szCs w:val="28"/>
                <w:lang w:val="uk-UA" w:eastAsia="uk-UA"/>
              </w:rPr>
              <w:t xml:space="preserve"> відносин у сфері теплопостачання</w:t>
            </w:r>
            <w:r w:rsidR="00366D23" w:rsidRPr="00EC0706">
              <w:rPr>
                <w:sz w:val="28"/>
                <w:szCs w:val="28"/>
                <w:lang w:val="uk-UA"/>
              </w:rPr>
              <w:t xml:space="preserve"> </w:t>
            </w:r>
            <w:r w:rsidRPr="00EC0706">
              <w:rPr>
                <w:sz w:val="28"/>
                <w:szCs w:val="28"/>
                <w:lang w:val="uk-UA"/>
              </w:rPr>
              <w:t xml:space="preserve"> не забезпечувати </w:t>
            </w:r>
            <w:r w:rsidR="00DD6C18" w:rsidRPr="00EC0706">
              <w:rPr>
                <w:sz w:val="28"/>
                <w:szCs w:val="28"/>
                <w:lang w:val="uk-UA"/>
              </w:rPr>
              <w:t xml:space="preserve">їх </w:t>
            </w:r>
            <w:r w:rsidRPr="00EC0706">
              <w:rPr>
                <w:sz w:val="28"/>
                <w:szCs w:val="28"/>
                <w:lang w:val="uk-UA"/>
              </w:rPr>
              <w:t>безумовне дотримання і виконання</w:t>
            </w:r>
          </w:p>
        </w:tc>
        <w:tc>
          <w:tcPr>
            <w:tcW w:w="3402" w:type="dxa"/>
          </w:tcPr>
          <w:p w:rsidR="00BA5647" w:rsidRPr="00EC0706" w:rsidRDefault="00BA5647" w:rsidP="00BA5647">
            <w:pPr>
              <w:ind w:firstLine="0"/>
              <w:jc w:val="center"/>
              <w:rPr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BA5647" w:rsidRPr="00EC0706" w:rsidTr="00634467">
        <w:trPr>
          <w:cantSplit/>
        </w:trPr>
        <w:tc>
          <w:tcPr>
            <w:tcW w:w="2410" w:type="dxa"/>
          </w:tcPr>
          <w:p w:rsidR="00BA5647" w:rsidRPr="00EC0706" w:rsidRDefault="00BA5647" w:rsidP="00BA5647">
            <w:pPr>
              <w:spacing w:before="0"/>
              <w:ind w:firstLine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Альтернатива 2</w:t>
            </w:r>
          </w:p>
          <w:p w:rsidR="00BA5647" w:rsidRPr="00EC0706" w:rsidRDefault="00BA5647" w:rsidP="00BA5647">
            <w:pPr>
              <w:spacing w:before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BA5647" w:rsidRPr="00EC0706" w:rsidRDefault="00BA5647" w:rsidP="00BA5647">
            <w:pPr>
              <w:spacing w:before="0"/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Прийняття проєкту наказу</w:t>
            </w:r>
          </w:p>
        </w:tc>
        <w:tc>
          <w:tcPr>
            <w:tcW w:w="3935" w:type="dxa"/>
          </w:tcPr>
          <w:p w:rsidR="00EB4047" w:rsidRPr="00EC0706" w:rsidRDefault="00BA5647" w:rsidP="000E13A1">
            <w:pPr>
              <w:spacing w:before="0"/>
              <w:ind w:left="34" w:firstLine="0"/>
              <w:jc w:val="left"/>
              <w:textAlignment w:val="baseline"/>
              <w:rPr>
                <w:sz w:val="28"/>
                <w:szCs w:val="28"/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Прийняття проєкт</w:t>
            </w:r>
            <w:r w:rsidR="00751AA4">
              <w:rPr>
                <w:sz w:val="28"/>
                <w:szCs w:val="28"/>
                <w:lang w:val="uk-UA"/>
              </w:rPr>
              <w:t>у</w:t>
            </w:r>
            <w:r w:rsidRPr="00EC0706">
              <w:rPr>
                <w:sz w:val="28"/>
                <w:szCs w:val="28"/>
                <w:lang w:val="uk-UA"/>
              </w:rPr>
              <w:t xml:space="preserve"> нака</w:t>
            </w:r>
            <w:r w:rsidR="00EB4047" w:rsidRPr="00EC0706">
              <w:rPr>
                <w:sz w:val="28"/>
                <w:szCs w:val="28"/>
                <w:lang w:val="uk-UA"/>
              </w:rPr>
              <w:t>зу вирішить проблему, забезпечить</w:t>
            </w:r>
            <w:r w:rsidRPr="00EC0706">
              <w:rPr>
                <w:sz w:val="28"/>
                <w:szCs w:val="28"/>
                <w:lang w:val="uk-UA"/>
              </w:rPr>
              <w:t xml:space="preserve"> досягнення цілей державного регулювання</w:t>
            </w:r>
          </w:p>
          <w:p w:rsidR="00BA5647" w:rsidRPr="00EC0706" w:rsidRDefault="006D70FC" w:rsidP="00567CAB">
            <w:pPr>
              <w:spacing w:before="0"/>
              <w:ind w:left="34" w:firstLine="0"/>
              <w:jc w:val="left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C0706">
              <w:rPr>
                <w:sz w:val="28"/>
                <w:szCs w:val="28"/>
                <w:lang w:val="uk-UA"/>
              </w:rPr>
              <w:t>П</w:t>
            </w:r>
            <w:r w:rsidR="00BA5647" w:rsidRPr="00EC0706">
              <w:rPr>
                <w:sz w:val="28"/>
                <w:szCs w:val="28"/>
                <w:lang w:val="uk-UA"/>
              </w:rPr>
              <w:t xml:space="preserve">осилити контроль і вплив держави за дотриманням суб’єктами </w:t>
            </w:r>
            <w:r w:rsidR="008C5012" w:rsidRPr="00EC0706">
              <w:rPr>
                <w:bCs/>
                <w:sz w:val="28"/>
                <w:szCs w:val="28"/>
                <w:lang w:val="uk-UA" w:eastAsia="uk-UA"/>
              </w:rPr>
              <w:t xml:space="preserve"> відносин у сфері теплопостачання</w:t>
            </w:r>
            <w:r w:rsidR="008C5012" w:rsidRPr="00EC0706">
              <w:rPr>
                <w:sz w:val="28"/>
                <w:szCs w:val="28"/>
                <w:lang w:val="uk-UA"/>
              </w:rPr>
              <w:t xml:space="preserve"> </w:t>
            </w:r>
            <w:r w:rsidR="00BA5647" w:rsidRPr="00EC0706">
              <w:rPr>
                <w:sz w:val="28"/>
                <w:szCs w:val="28"/>
                <w:lang w:val="uk-UA"/>
              </w:rPr>
              <w:t>вимог</w:t>
            </w:r>
            <w:r w:rsidR="00BA5647" w:rsidRPr="00EC0706">
              <w:rPr>
                <w:sz w:val="28"/>
                <w:szCs w:val="28"/>
                <w:lang w:val="uk-UA" w:eastAsia="uk-UA"/>
              </w:rPr>
              <w:t xml:space="preserve"> </w:t>
            </w:r>
            <w:r w:rsidR="00BA5647" w:rsidRPr="00EC0706">
              <w:rPr>
                <w:sz w:val="28"/>
                <w:szCs w:val="28"/>
                <w:lang w:val="uk-UA"/>
              </w:rPr>
              <w:t xml:space="preserve"> </w:t>
            </w:r>
            <w:r w:rsidR="00EB4047" w:rsidRPr="00EC0706">
              <w:rPr>
                <w:sz w:val="28"/>
                <w:szCs w:val="28"/>
                <w:shd w:val="clear" w:color="auto" w:fill="FFFFFF"/>
                <w:lang w:val="uk-UA"/>
              </w:rPr>
              <w:t xml:space="preserve"> нормативно-правових актів, норм і правил</w:t>
            </w:r>
            <w:r w:rsidR="00BA5647" w:rsidRPr="00EC0706">
              <w:rPr>
                <w:sz w:val="28"/>
                <w:szCs w:val="28"/>
                <w:lang w:val="uk-UA"/>
              </w:rPr>
              <w:t xml:space="preserve">, в тому числі в частині </w:t>
            </w:r>
            <w:r w:rsidR="001F1528" w:rsidRPr="00EC0706">
              <w:rPr>
                <w:sz w:val="28"/>
                <w:szCs w:val="28"/>
                <w:lang w:val="uk-UA"/>
              </w:rPr>
              <w:t xml:space="preserve">підготовки та оцінки </w:t>
            </w:r>
            <w:r w:rsidR="00BA5647" w:rsidRPr="00EC0706">
              <w:rPr>
                <w:sz w:val="28"/>
                <w:szCs w:val="28"/>
                <w:lang w:val="uk-UA"/>
              </w:rPr>
              <w:t xml:space="preserve">готовності об’єктів </w:t>
            </w:r>
            <w:r w:rsidR="001F1528" w:rsidRPr="00EC0706">
              <w:rPr>
                <w:sz w:val="28"/>
                <w:szCs w:val="28"/>
                <w:lang w:val="uk-UA"/>
              </w:rPr>
              <w:t xml:space="preserve"> у сфері теплопостачання </w:t>
            </w:r>
            <w:r w:rsidR="00BA5647" w:rsidRPr="00EC0706">
              <w:rPr>
                <w:sz w:val="28"/>
                <w:szCs w:val="28"/>
                <w:lang w:val="uk-UA"/>
              </w:rPr>
              <w:t xml:space="preserve"> до роботи в </w:t>
            </w:r>
            <w:r w:rsidR="001F1528" w:rsidRPr="00EC0706">
              <w:rPr>
                <w:sz w:val="28"/>
                <w:szCs w:val="28"/>
                <w:lang w:val="uk-UA"/>
              </w:rPr>
              <w:t>опалювальний</w:t>
            </w:r>
            <w:r w:rsidR="00BA5647" w:rsidRPr="00EC0706">
              <w:rPr>
                <w:sz w:val="28"/>
                <w:szCs w:val="28"/>
                <w:lang w:val="uk-UA"/>
              </w:rPr>
              <w:t xml:space="preserve"> період.</w:t>
            </w:r>
            <w:r w:rsidR="008C5012" w:rsidRPr="00EC070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BA5647" w:rsidRPr="00EC0706" w:rsidRDefault="00BA5647" w:rsidP="00BA5647">
            <w:pPr>
              <w:ind w:firstLine="0"/>
              <w:jc w:val="center"/>
              <w:rPr>
                <w:lang w:val="uk-UA"/>
              </w:rPr>
            </w:pPr>
            <w:r w:rsidRPr="00EC0706">
              <w:rPr>
                <w:sz w:val="28"/>
                <w:szCs w:val="28"/>
                <w:lang w:val="uk-UA"/>
              </w:rPr>
              <w:t>Відсутні</w:t>
            </w:r>
          </w:p>
        </w:tc>
      </w:tr>
    </w:tbl>
    <w:p w:rsidR="00D32FB0" w:rsidRPr="00EC0706" w:rsidRDefault="00D32FB0" w:rsidP="00D32FB0">
      <w:pPr>
        <w:spacing w:before="0"/>
        <w:ind w:right="203" w:firstLine="0"/>
        <w:rPr>
          <w:b/>
          <w:bCs/>
          <w:sz w:val="28"/>
          <w:szCs w:val="28"/>
          <w:lang w:val="uk-UA"/>
        </w:rPr>
      </w:pPr>
    </w:p>
    <w:p w:rsidR="00BD29AF" w:rsidRPr="00EC0706" w:rsidRDefault="00B7478D" w:rsidP="002A5501">
      <w:pPr>
        <w:spacing w:before="0"/>
        <w:ind w:right="1"/>
        <w:rPr>
          <w:b/>
          <w:bCs/>
          <w:sz w:val="28"/>
          <w:szCs w:val="28"/>
          <w:lang w:val="uk-UA"/>
        </w:rPr>
      </w:pPr>
      <w:r w:rsidRPr="00EC0706">
        <w:rPr>
          <w:b/>
          <w:bCs/>
          <w:sz w:val="28"/>
          <w:szCs w:val="28"/>
          <w:lang w:val="uk-UA"/>
        </w:rPr>
        <w:t xml:space="preserve">V. </w:t>
      </w:r>
      <w:r w:rsidR="007F384B" w:rsidRPr="00EC0706">
        <w:rPr>
          <w:b/>
          <w:sz w:val="28"/>
          <w:szCs w:val="28"/>
          <w:lang w:val="uk-UA"/>
        </w:rPr>
        <w:t>Механізми та заходи, які забезпечать розв’язання визначеної проблеми</w:t>
      </w:r>
    </w:p>
    <w:p w:rsidR="007F384B" w:rsidRPr="00EC0706" w:rsidRDefault="007F384B" w:rsidP="00D32FB0">
      <w:pPr>
        <w:spacing w:before="0"/>
        <w:ind w:right="1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 xml:space="preserve">Механізмом, який забезпечить розв’язання проблеми, є прийняття наказу Міненерго «Про затвердження </w:t>
      </w:r>
      <w:r w:rsidRPr="00EC0706">
        <w:rPr>
          <w:bCs/>
          <w:sz w:val="28"/>
          <w:szCs w:val="28"/>
          <w:lang w:val="uk-UA"/>
        </w:rPr>
        <w:t xml:space="preserve">Положення </w:t>
      </w:r>
      <w:r w:rsidRPr="00EC0706">
        <w:rPr>
          <w:bCs/>
          <w:sz w:val="28"/>
          <w:szCs w:val="28"/>
          <w:lang w:val="uk-UA" w:eastAsia="uk-UA"/>
        </w:rPr>
        <w:t>про порядок підготовки та оцінки готовності теплових, тепловикористальних установок і мереж, енергетичного обладнання суб’єктів відносин у сфері теплопостачання до роботи в опалювальний період</w:t>
      </w:r>
      <w:r w:rsidRPr="00EC0706">
        <w:rPr>
          <w:sz w:val="28"/>
          <w:szCs w:val="28"/>
          <w:lang w:val="uk-UA"/>
        </w:rPr>
        <w:t xml:space="preserve">», завдяки якому буде забезпечено оптимізацію та покращення підготовки і оцінки готовності об’єктів </w:t>
      </w:r>
      <w:r w:rsidR="006A098C" w:rsidRPr="00EC0706">
        <w:rPr>
          <w:bCs/>
          <w:sz w:val="28"/>
          <w:szCs w:val="28"/>
          <w:lang w:val="uk-UA" w:eastAsia="uk-UA"/>
        </w:rPr>
        <w:t>у сфері теплопостачання</w:t>
      </w:r>
      <w:r w:rsidRPr="00EC0706">
        <w:rPr>
          <w:sz w:val="28"/>
          <w:szCs w:val="28"/>
          <w:lang w:val="uk-UA"/>
        </w:rPr>
        <w:t xml:space="preserve"> до роботи в </w:t>
      </w:r>
      <w:r w:rsidR="006A098C" w:rsidRPr="00EC0706">
        <w:rPr>
          <w:sz w:val="28"/>
          <w:szCs w:val="28"/>
          <w:lang w:val="uk-UA"/>
        </w:rPr>
        <w:t>опалювальний</w:t>
      </w:r>
      <w:r w:rsidRPr="00EC0706">
        <w:rPr>
          <w:sz w:val="28"/>
          <w:szCs w:val="28"/>
          <w:lang w:val="uk-UA"/>
        </w:rPr>
        <w:t xml:space="preserve"> період, а також посилено контроль і вплив держави за дотриманням суб’єктами </w:t>
      </w:r>
      <w:r w:rsidR="006A098C" w:rsidRPr="00EC0706">
        <w:rPr>
          <w:bCs/>
          <w:sz w:val="28"/>
          <w:szCs w:val="28"/>
          <w:lang w:val="uk-UA" w:eastAsia="uk-UA"/>
        </w:rPr>
        <w:t>відносин у сфері теплопостачання</w:t>
      </w:r>
      <w:r w:rsidR="006A098C" w:rsidRPr="00EC0706">
        <w:rPr>
          <w:sz w:val="28"/>
          <w:szCs w:val="28"/>
          <w:lang w:val="uk-UA"/>
        </w:rPr>
        <w:t xml:space="preserve"> вимог</w:t>
      </w:r>
      <w:r w:rsidR="006A098C" w:rsidRPr="00EC0706">
        <w:rPr>
          <w:sz w:val="28"/>
          <w:szCs w:val="28"/>
          <w:lang w:val="uk-UA" w:eastAsia="uk-UA"/>
        </w:rPr>
        <w:t xml:space="preserve"> </w:t>
      </w:r>
      <w:r w:rsidR="006A098C" w:rsidRPr="00EC0706">
        <w:rPr>
          <w:sz w:val="28"/>
          <w:szCs w:val="28"/>
          <w:shd w:val="clear" w:color="auto" w:fill="FFFFFF"/>
          <w:lang w:val="uk-UA"/>
        </w:rPr>
        <w:t>нормативно-правових актів, норм і правил</w:t>
      </w:r>
      <w:r w:rsidRPr="00EC0706">
        <w:rPr>
          <w:sz w:val="28"/>
          <w:szCs w:val="28"/>
          <w:lang w:val="uk-UA"/>
        </w:rPr>
        <w:t xml:space="preserve">, в тому числі в </w:t>
      </w:r>
      <w:r w:rsidR="006A098C" w:rsidRPr="00EC0706">
        <w:rPr>
          <w:sz w:val="28"/>
          <w:szCs w:val="28"/>
          <w:lang w:val="uk-UA"/>
        </w:rPr>
        <w:t xml:space="preserve">частині підготовки та оцінки готовності </w:t>
      </w:r>
      <w:r w:rsidR="0046128B" w:rsidRPr="00EC0706">
        <w:rPr>
          <w:bCs/>
          <w:sz w:val="28"/>
          <w:szCs w:val="28"/>
          <w:lang w:val="uk-UA" w:eastAsia="uk-UA"/>
        </w:rPr>
        <w:t>теплових, тепловикористальних установок і мереж, енергетичного обладнання суб’єктів відносин у сфері теплопостачання до роботи в опалювальний період</w:t>
      </w:r>
      <w:r w:rsidRPr="00EC0706">
        <w:rPr>
          <w:sz w:val="28"/>
          <w:szCs w:val="28"/>
          <w:lang w:val="uk-UA"/>
        </w:rPr>
        <w:t xml:space="preserve">. </w:t>
      </w:r>
      <w:r w:rsidR="006A098C" w:rsidRPr="00EC0706">
        <w:rPr>
          <w:sz w:val="28"/>
          <w:szCs w:val="28"/>
          <w:lang w:val="uk-UA"/>
        </w:rPr>
        <w:t xml:space="preserve"> </w:t>
      </w:r>
    </w:p>
    <w:p w:rsidR="00047B70" w:rsidRPr="00EC0706" w:rsidRDefault="007F384B" w:rsidP="00D32FB0">
      <w:pPr>
        <w:spacing w:before="0"/>
        <w:ind w:right="1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 xml:space="preserve">Міненерго для впровадження регуляторного акта має погодити проєкт із заінтересованими органами державної влади та подати його на реєстрацію в Міністерство юстиції України. </w:t>
      </w:r>
    </w:p>
    <w:p w:rsidR="002A5501" w:rsidRPr="00EC0706" w:rsidRDefault="002A5501" w:rsidP="00D32FB0">
      <w:pPr>
        <w:shd w:val="clear" w:color="auto" w:fill="FFFFFF"/>
        <w:spacing w:before="0"/>
        <w:ind w:right="1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3219E7" w:rsidRPr="00EC0706" w:rsidRDefault="003219E7" w:rsidP="00D32FB0">
      <w:pPr>
        <w:shd w:val="clear" w:color="auto" w:fill="FFFFFF"/>
        <w:spacing w:before="0"/>
        <w:ind w:right="1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EC0706">
        <w:rPr>
          <w:b/>
          <w:bCs/>
          <w:sz w:val="28"/>
          <w:szCs w:val="28"/>
          <w:bdr w:val="none" w:sz="0" w:space="0" w:color="auto" w:frame="1"/>
          <w:lang w:val="uk-UA" w:eastAsia="uk-UA"/>
        </w:rPr>
        <w:lastRenderedPageBreak/>
        <w:t xml:space="preserve">VI. </w:t>
      </w:r>
      <w:r w:rsidR="00893A73" w:rsidRPr="00EC0706">
        <w:rPr>
          <w:b/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893A73" w:rsidRPr="00EC0706" w:rsidRDefault="00893A73" w:rsidP="00D32FB0">
      <w:pPr>
        <w:spacing w:before="0"/>
        <w:ind w:right="1"/>
        <w:textAlignment w:val="baseline"/>
        <w:rPr>
          <w:sz w:val="28"/>
          <w:szCs w:val="28"/>
          <w:lang w:val="uk-UA"/>
        </w:rPr>
      </w:pPr>
      <w:bookmarkStart w:id="8" w:name="n164"/>
      <w:bookmarkEnd w:id="8"/>
      <w:r w:rsidRPr="00EC0706">
        <w:rPr>
          <w:sz w:val="28"/>
          <w:szCs w:val="28"/>
          <w:lang w:val="uk-UA"/>
        </w:rPr>
        <w:t>Витрат</w:t>
      </w:r>
      <w:r w:rsidR="00FB4D24" w:rsidRPr="00EC0706">
        <w:rPr>
          <w:sz w:val="28"/>
          <w:szCs w:val="28"/>
          <w:lang w:val="uk-UA"/>
        </w:rPr>
        <w:t>и</w:t>
      </w:r>
      <w:r w:rsidRPr="00EC0706">
        <w:rPr>
          <w:sz w:val="28"/>
          <w:szCs w:val="28"/>
          <w:lang w:val="uk-UA"/>
        </w:rPr>
        <w:t xml:space="preserve"> на виконання вимог регуляторного акта для центральних ор</w:t>
      </w:r>
      <w:r w:rsidR="00FB4D24" w:rsidRPr="00EC0706">
        <w:rPr>
          <w:sz w:val="28"/>
          <w:szCs w:val="28"/>
          <w:lang w:val="uk-UA"/>
        </w:rPr>
        <w:t>ганів виконавчої влади чи органів</w:t>
      </w:r>
      <w:r w:rsidRPr="00EC0706">
        <w:rPr>
          <w:sz w:val="28"/>
          <w:szCs w:val="28"/>
          <w:lang w:val="uk-UA"/>
        </w:rPr>
        <w:t xml:space="preserve"> місцевого самоврядування не передбачаються. </w:t>
      </w:r>
    </w:p>
    <w:p w:rsidR="003219E7" w:rsidRPr="00EC0706" w:rsidRDefault="00893A73" w:rsidP="00D32FB0">
      <w:pPr>
        <w:spacing w:before="0"/>
        <w:ind w:right="1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 w:rsidRPr="00EC0706">
        <w:rPr>
          <w:sz w:val="28"/>
          <w:szCs w:val="28"/>
          <w:lang w:val="uk-UA"/>
        </w:rPr>
        <w:t>Державне регулювання не передбачає утворення нового державного органу (або нового структурного підрозділу діючого органу)</w:t>
      </w:r>
      <w:r w:rsidR="00A26BC5" w:rsidRPr="00EC0706">
        <w:rPr>
          <w:sz w:val="28"/>
          <w:szCs w:val="28"/>
          <w:lang w:val="uk-UA"/>
        </w:rPr>
        <w:t>.</w:t>
      </w:r>
      <w:r w:rsidR="003219E7" w:rsidRPr="00EC0706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bookmarkStart w:id="9" w:name="n191"/>
      <w:bookmarkStart w:id="10" w:name="n192"/>
      <w:bookmarkEnd w:id="9"/>
      <w:bookmarkEnd w:id="10"/>
    </w:p>
    <w:p w:rsidR="00BD29AF" w:rsidRPr="00EC0706" w:rsidRDefault="00BD29AF" w:rsidP="00D32FB0">
      <w:pPr>
        <w:spacing w:before="0"/>
        <w:ind w:right="1" w:firstLine="0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3219E7" w:rsidRPr="00EC0706" w:rsidRDefault="003219E7" w:rsidP="00D32FB0">
      <w:pPr>
        <w:shd w:val="clear" w:color="auto" w:fill="FFFFFF"/>
        <w:spacing w:before="0"/>
        <w:ind w:right="1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EC0706">
        <w:rPr>
          <w:b/>
          <w:bCs/>
          <w:sz w:val="28"/>
          <w:szCs w:val="28"/>
          <w:bdr w:val="none" w:sz="0" w:space="0" w:color="auto" w:frame="1"/>
          <w:lang w:val="uk-UA" w:eastAsia="uk-UA"/>
        </w:rPr>
        <w:t>VII. Обґрунтування запропоновано</w:t>
      </w:r>
      <w:r w:rsidR="00BF6857" w:rsidRPr="00EC0706">
        <w:rPr>
          <w:b/>
          <w:bCs/>
          <w:sz w:val="28"/>
          <w:szCs w:val="28"/>
          <w:bdr w:val="none" w:sz="0" w:space="0" w:color="auto" w:frame="1"/>
          <w:lang w:val="uk-UA" w:eastAsia="uk-UA"/>
        </w:rPr>
        <w:t>го строку дії регуляторного акта</w:t>
      </w:r>
    </w:p>
    <w:p w:rsidR="00FB4D24" w:rsidRPr="00EC0706" w:rsidRDefault="00FB4D24" w:rsidP="00D32FB0">
      <w:pPr>
        <w:spacing w:before="0"/>
        <w:ind w:right="1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 xml:space="preserve">Строк дії регуляторного акта не обмежений у часі, що дасть змогу досягти цілей державного регулювання повною мірою. </w:t>
      </w:r>
    </w:p>
    <w:p w:rsidR="003219E7" w:rsidRPr="00EC0706" w:rsidRDefault="00FB4D24" w:rsidP="00D32FB0">
      <w:pPr>
        <w:spacing w:before="0"/>
        <w:ind w:right="1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>Проєкт регуляторного акта набирає чинності відповідно до законодавства з дня його офіційного опублікування</w:t>
      </w:r>
      <w:r w:rsidRPr="00EC0706">
        <w:rPr>
          <w:lang w:val="uk-UA"/>
        </w:rPr>
        <w:t>.</w:t>
      </w:r>
    </w:p>
    <w:p w:rsidR="007D58BB" w:rsidRPr="00EC0706" w:rsidRDefault="007D58BB" w:rsidP="00D32FB0">
      <w:pPr>
        <w:spacing w:before="0"/>
        <w:ind w:right="1"/>
        <w:rPr>
          <w:sz w:val="20"/>
          <w:szCs w:val="20"/>
          <w:lang w:val="uk-UA"/>
        </w:rPr>
      </w:pPr>
    </w:p>
    <w:p w:rsidR="003219E7" w:rsidRPr="00EC0706" w:rsidRDefault="003219E7" w:rsidP="00D32FB0">
      <w:pPr>
        <w:shd w:val="clear" w:color="auto" w:fill="FFFFFF"/>
        <w:spacing w:before="0"/>
        <w:ind w:right="1"/>
        <w:textAlignment w:val="baseline"/>
        <w:rPr>
          <w:sz w:val="28"/>
          <w:szCs w:val="28"/>
          <w:lang w:val="uk-UA" w:eastAsia="uk-UA"/>
        </w:rPr>
      </w:pPr>
      <w:r w:rsidRPr="00EC0706">
        <w:rPr>
          <w:b/>
          <w:bCs/>
          <w:sz w:val="28"/>
          <w:szCs w:val="28"/>
          <w:bdr w:val="none" w:sz="0" w:space="0" w:color="auto" w:frame="1"/>
          <w:lang w:val="uk-UA" w:eastAsia="uk-UA"/>
        </w:rPr>
        <w:t>VIII. Визначення показників результ</w:t>
      </w:r>
      <w:r w:rsidR="00B80DA4" w:rsidRPr="00EC0706">
        <w:rPr>
          <w:b/>
          <w:bCs/>
          <w:sz w:val="28"/>
          <w:szCs w:val="28"/>
          <w:bdr w:val="none" w:sz="0" w:space="0" w:color="auto" w:frame="1"/>
          <w:lang w:val="uk-UA" w:eastAsia="uk-UA"/>
        </w:rPr>
        <w:t>ативності дії регуляторного акта</w:t>
      </w:r>
      <w:bookmarkStart w:id="11" w:name="n169"/>
      <w:bookmarkStart w:id="12" w:name="n170"/>
      <w:bookmarkEnd w:id="11"/>
      <w:bookmarkEnd w:id="12"/>
    </w:p>
    <w:p w:rsidR="003219E7" w:rsidRPr="00EC0706" w:rsidRDefault="00FB4D24" w:rsidP="00D32FB0">
      <w:pPr>
        <w:pStyle w:val="a8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EC0706">
        <w:rPr>
          <w:rFonts w:ascii="Times New Roman" w:hAnsi="Times New Roman" w:cs="Times New Roman"/>
          <w:sz w:val="28"/>
          <w:szCs w:val="28"/>
          <w:lang w:val="uk-UA"/>
        </w:rPr>
        <w:t>Прогнозними значеннями показників результативності регуляторного акта є</w:t>
      </w:r>
      <w:r w:rsidR="003219E7" w:rsidRPr="00EC070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19E7" w:rsidRPr="00EC0706" w:rsidRDefault="00FB4D24" w:rsidP="00D32FB0">
      <w:pPr>
        <w:pStyle w:val="a8"/>
        <w:numPr>
          <w:ilvl w:val="0"/>
          <w:numId w:val="3"/>
        </w:num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C0706">
        <w:rPr>
          <w:rFonts w:ascii="Times New Roman" w:hAnsi="Times New Roman" w:cs="Times New Roman"/>
          <w:sz w:val="28"/>
          <w:szCs w:val="28"/>
          <w:lang w:val="uk-UA"/>
        </w:rPr>
        <w:t>кількість суб’єктів господарювання та/або фізичних осіб, на яких поширюватиметься дія акта</w:t>
      </w:r>
      <w:r w:rsidR="00751AA4" w:rsidRPr="00EC0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AA4" w:rsidRPr="00EC0706">
        <w:rPr>
          <w:rFonts w:ascii="Times New Roman" w:hAnsi="Times New Roman" w:cs="Times New Roman"/>
          <w:bCs/>
          <w:sz w:val="28"/>
          <w:szCs w:val="28"/>
          <w:lang w:val="uk-UA" w:eastAsia="uk-UA"/>
        </w:rPr>
        <w:t>1196 одиниць</w:t>
      </w:r>
      <w:r w:rsidRPr="00EC0706">
        <w:rPr>
          <w:rFonts w:ascii="Times New Roman" w:hAnsi="Times New Roman" w:cs="Times New Roman"/>
          <w:sz w:val="28"/>
          <w:szCs w:val="28"/>
          <w:lang w:val="uk-UA"/>
        </w:rPr>
        <w:t xml:space="preserve"> – суб’єкти </w:t>
      </w:r>
      <w:r w:rsidR="0099260D" w:rsidRPr="00EC0706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відносин у сфері теплопостачання</w:t>
      </w:r>
      <w:r w:rsidRPr="00EC07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36E1" w:rsidRPr="00EC0706" w:rsidRDefault="00FB4D24" w:rsidP="00D32FB0">
      <w:pPr>
        <w:pStyle w:val="ad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C0706">
        <w:rPr>
          <w:rFonts w:ascii="Times New Roman" w:hAnsi="Times New Roman" w:cs="Times New Roman"/>
          <w:sz w:val="28"/>
          <w:szCs w:val="28"/>
          <w:lang w:val="uk-UA"/>
        </w:rPr>
        <w:t>рівень поінформованості суб’єктів господарювання з основних положень акта – високий</w:t>
      </w:r>
      <w:r w:rsidR="003219E7" w:rsidRPr="00EC07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36E1" w:rsidRPr="00EC0706" w:rsidRDefault="003A5F6D" w:rsidP="00D32FB0">
      <w:pPr>
        <w:pStyle w:val="ad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C0706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="00FB4D24" w:rsidRPr="00EC0706">
        <w:rPr>
          <w:rFonts w:ascii="Times New Roman" w:hAnsi="Times New Roman" w:cs="Times New Roman"/>
          <w:sz w:val="28"/>
          <w:szCs w:val="28"/>
          <w:lang w:val="uk-UA"/>
        </w:rPr>
        <w:t>надійності</w:t>
      </w:r>
      <w:r w:rsidRPr="00EC0706">
        <w:rPr>
          <w:rFonts w:ascii="Times New Roman" w:hAnsi="Times New Roman" w:cs="Times New Roman"/>
          <w:sz w:val="28"/>
          <w:szCs w:val="28"/>
          <w:lang w:val="uk-UA"/>
        </w:rPr>
        <w:t xml:space="preserve"> та якості постачання</w:t>
      </w:r>
      <w:r w:rsidR="00830770" w:rsidRPr="00EC0706">
        <w:rPr>
          <w:rFonts w:ascii="Times New Roman" w:hAnsi="Times New Roman" w:cs="Times New Roman"/>
          <w:sz w:val="28"/>
          <w:szCs w:val="28"/>
          <w:lang w:val="uk-UA"/>
        </w:rPr>
        <w:t xml:space="preserve"> теплової енергії</w:t>
      </w:r>
      <w:r w:rsidRPr="00EC0706">
        <w:rPr>
          <w:rFonts w:ascii="Times New Roman" w:hAnsi="Times New Roman" w:cs="Times New Roman"/>
          <w:sz w:val="28"/>
          <w:szCs w:val="28"/>
          <w:lang w:val="uk-UA"/>
        </w:rPr>
        <w:t xml:space="preserve"> споживач</w:t>
      </w:r>
      <w:r w:rsidR="00830770" w:rsidRPr="00EC0706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EC0706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опалювального </w:t>
      </w:r>
      <w:r w:rsidR="006D70FC" w:rsidRPr="00EC0706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A26BC5" w:rsidRPr="00EC07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70FC" w:rsidRPr="00EC0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D24" w:rsidRPr="00EC070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C0706">
        <w:rPr>
          <w:rFonts w:ascii="Times New Roman" w:hAnsi="Times New Roman" w:cs="Times New Roman"/>
          <w:sz w:val="28"/>
          <w:szCs w:val="28"/>
          <w:lang w:val="uk-UA"/>
        </w:rPr>
        <w:t>збільшиться</w:t>
      </w:r>
      <w:r w:rsidR="00FB4D24" w:rsidRPr="00EC07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9E7" w:rsidRPr="00EC0706" w:rsidRDefault="003219E7" w:rsidP="00D32FB0">
      <w:pPr>
        <w:spacing w:before="0"/>
        <w:outlineLvl w:val="2"/>
        <w:rPr>
          <w:sz w:val="28"/>
          <w:szCs w:val="28"/>
          <w:lang w:val="uk-UA" w:eastAsia="uk-UA"/>
        </w:rPr>
      </w:pPr>
      <w:r w:rsidRPr="00EC0706">
        <w:rPr>
          <w:sz w:val="28"/>
          <w:szCs w:val="28"/>
          <w:lang w:val="uk-UA" w:eastAsia="uk-UA"/>
        </w:rPr>
        <w:t>Проєкт регуляторного акта</w:t>
      </w:r>
      <w:r w:rsidRPr="00EC0706">
        <w:rPr>
          <w:sz w:val="28"/>
          <w:szCs w:val="28"/>
          <w:lang w:val="uk-UA"/>
        </w:rPr>
        <w:t xml:space="preserve"> разом з матеріалами, що обґрунтовують його прийняття,</w:t>
      </w:r>
      <w:r w:rsidRPr="00EC0706">
        <w:rPr>
          <w:sz w:val="28"/>
          <w:szCs w:val="28"/>
          <w:lang w:val="uk-UA" w:eastAsia="uk-UA"/>
        </w:rPr>
        <w:t xml:space="preserve"> оприлюднено на</w:t>
      </w:r>
      <w:r w:rsidR="004C7529" w:rsidRPr="00EC0706">
        <w:rPr>
          <w:sz w:val="28"/>
          <w:szCs w:val="28"/>
          <w:lang w:val="uk-UA" w:eastAsia="uk-UA"/>
        </w:rPr>
        <w:t xml:space="preserve"> офіційному </w:t>
      </w:r>
      <w:r w:rsidR="004645DE" w:rsidRPr="00EC0706">
        <w:rPr>
          <w:sz w:val="28"/>
          <w:szCs w:val="28"/>
          <w:lang w:val="uk-UA" w:eastAsia="uk-UA"/>
        </w:rPr>
        <w:t>вебсайті</w:t>
      </w:r>
      <w:r w:rsidRPr="00EC0706">
        <w:rPr>
          <w:sz w:val="28"/>
          <w:szCs w:val="28"/>
          <w:lang w:val="uk-UA" w:eastAsia="uk-UA"/>
        </w:rPr>
        <w:t xml:space="preserve"> </w:t>
      </w:r>
      <w:r w:rsidRPr="00EC0706">
        <w:rPr>
          <w:rStyle w:val="rvts9"/>
          <w:sz w:val="28"/>
          <w:szCs w:val="28"/>
          <w:lang w:val="uk-UA"/>
        </w:rPr>
        <w:t>Держенергонагляду</w:t>
      </w:r>
      <w:r w:rsidR="004C7529" w:rsidRPr="00EC0706">
        <w:rPr>
          <w:rStyle w:val="rvts9"/>
          <w:sz w:val="28"/>
          <w:szCs w:val="28"/>
          <w:lang w:val="uk-UA"/>
        </w:rPr>
        <w:t>:</w:t>
      </w:r>
      <w:r w:rsidRPr="00EC0706">
        <w:rPr>
          <w:sz w:val="28"/>
          <w:szCs w:val="28"/>
          <w:lang w:val="uk-UA" w:eastAsia="uk-UA"/>
        </w:rPr>
        <w:t xml:space="preserve"> </w:t>
      </w:r>
      <w:hyperlink r:id="rId7" w:history="1">
        <w:r w:rsidRPr="00EC0706">
          <w:rPr>
            <w:rStyle w:val="ae"/>
            <w:color w:val="auto"/>
            <w:sz w:val="28"/>
            <w:szCs w:val="28"/>
            <w:u w:val="none"/>
            <w:lang w:val="uk-UA"/>
          </w:rPr>
          <w:t>https://sies.gov.ua/</w:t>
        </w:r>
      </w:hyperlink>
      <w:r w:rsidRPr="00EC0706">
        <w:rPr>
          <w:sz w:val="28"/>
          <w:szCs w:val="28"/>
          <w:lang w:val="uk-UA" w:eastAsia="uk-UA"/>
        </w:rPr>
        <w:t xml:space="preserve">. </w:t>
      </w:r>
      <w:r w:rsidRPr="00EC0706">
        <w:rPr>
          <w:sz w:val="28"/>
          <w:szCs w:val="28"/>
          <w:lang w:val="uk-UA"/>
        </w:rPr>
        <w:t>Держенергонагляд</w:t>
      </w:r>
      <w:r w:rsidRPr="00EC0706">
        <w:rPr>
          <w:sz w:val="28"/>
          <w:szCs w:val="28"/>
          <w:lang w:val="uk-UA" w:eastAsia="uk-UA"/>
        </w:rPr>
        <w:t xml:space="preserve"> у межах компетенції надає необхідні роз’яснення щодо норм проєкту регуляторного акта і надаватиме роз’яснення щодо застосування акта, який буде опубліковано в засобах масової інформації після його прийняття</w:t>
      </w:r>
      <w:r w:rsidR="004C7529" w:rsidRPr="00EC0706">
        <w:rPr>
          <w:sz w:val="28"/>
          <w:szCs w:val="28"/>
          <w:lang w:val="uk-UA" w:eastAsia="uk-UA"/>
        </w:rPr>
        <w:t>.</w:t>
      </w:r>
    </w:p>
    <w:p w:rsidR="003219E7" w:rsidRPr="00EC0706" w:rsidRDefault="003219E7" w:rsidP="00D32FB0">
      <w:pPr>
        <w:spacing w:before="0"/>
        <w:rPr>
          <w:sz w:val="20"/>
          <w:szCs w:val="20"/>
          <w:lang w:val="uk-UA"/>
        </w:rPr>
      </w:pPr>
    </w:p>
    <w:p w:rsidR="003219E7" w:rsidRPr="00EC0706" w:rsidRDefault="003219E7" w:rsidP="00D32FB0">
      <w:pPr>
        <w:shd w:val="clear" w:color="auto" w:fill="FFFFFF"/>
        <w:spacing w:before="0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EC0706">
        <w:rPr>
          <w:b/>
          <w:bCs/>
          <w:sz w:val="28"/>
          <w:szCs w:val="28"/>
          <w:bdr w:val="none" w:sz="0" w:space="0" w:color="auto" w:frame="1"/>
          <w:lang w:val="uk-UA" w:eastAsia="uk-UA"/>
        </w:rPr>
        <w:t>IX. Визначення заходів, за допомогою яких здійснюватиметься відстеження результативност</w:t>
      </w:r>
      <w:r w:rsidR="004F4D76" w:rsidRPr="00EC0706">
        <w:rPr>
          <w:b/>
          <w:bCs/>
          <w:sz w:val="28"/>
          <w:szCs w:val="28"/>
          <w:bdr w:val="none" w:sz="0" w:space="0" w:color="auto" w:frame="1"/>
          <w:lang w:val="uk-UA" w:eastAsia="uk-UA"/>
        </w:rPr>
        <w:t>і дії регуляторного акта</w:t>
      </w:r>
    </w:p>
    <w:p w:rsidR="003219E7" w:rsidRPr="00EC0706" w:rsidRDefault="003219E7" w:rsidP="00D32FB0">
      <w:pPr>
        <w:shd w:val="clear" w:color="auto" w:fill="FFFFFF"/>
        <w:spacing w:before="0"/>
        <w:textAlignment w:val="baseline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>Відстеження результа</w:t>
      </w:r>
      <w:r w:rsidR="0099260D" w:rsidRPr="00EC0706">
        <w:rPr>
          <w:sz w:val="28"/>
          <w:szCs w:val="28"/>
          <w:lang w:val="uk-UA"/>
        </w:rPr>
        <w:t>тивності регуляторного акта буде</w:t>
      </w:r>
      <w:r w:rsidRPr="00EC0706">
        <w:rPr>
          <w:sz w:val="28"/>
          <w:szCs w:val="28"/>
          <w:lang w:val="uk-UA"/>
        </w:rPr>
        <w:t xml:space="preserve"> з</w:t>
      </w:r>
      <w:r w:rsidR="008D21D2" w:rsidRPr="00EC0706">
        <w:rPr>
          <w:sz w:val="28"/>
          <w:szCs w:val="28"/>
          <w:lang w:val="uk-UA"/>
        </w:rPr>
        <w:t>дійснюватися Держенергонаглядом</w:t>
      </w:r>
      <w:r w:rsidRPr="00EC0706">
        <w:rPr>
          <w:sz w:val="28"/>
          <w:szCs w:val="28"/>
          <w:lang w:val="uk-UA"/>
        </w:rPr>
        <w:t xml:space="preserve"> </w:t>
      </w:r>
      <w:r w:rsidR="0099260D" w:rsidRPr="00EC0706">
        <w:rPr>
          <w:sz w:val="28"/>
          <w:szCs w:val="28"/>
          <w:lang w:val="uk-UA"/>
        </w:rPr>
        <w:t xml:space="preserve">шляхом здійснення статистичного аналізу на основі офіційних даних суб’єктів </w:t>
      </w:r>
      <w:r w:rsidR="0099260D" w:rsidRPr="00EC0706">
        <w:rPr>
          <w:bCs/>
          <w:sz w:val="28"/>
          <w:szCs w:val="28"/>
          <w:lang w:val="uk-UA" w:eastAsia="uk-UA"/>
        </w:rPr>
        <w:t>відносин у сфері теплопостачання</w:t>
      </w:r>
      <w:r w:rsidRPr="00EC0706">
        <w:rPr>
          <w:sz w:val="28"/>
          <w:szCs w:val="28"/>
          <w:lang w:val="uk-UA"/>
        </w:rPr>
        <w:t>.</w:t>
      </w:r>
      <w:r w:rsidR="0099260D" w:rsidRPr="00EC0706">
        <w:rPr>
          <w:sz w:val="28"/>
          <w:szCs w:val="28"/>
          <w:lang w:val="uk-UA"/>
        </w:rPr>
        <w:t xml:space="preserve"> </w:t>
      </w:r>
    </w:p>
    <w:p w:rsidR="007734ED" w:rsidRPr="00EC0706" w:rsidRDefault="007734ED" w:rsidP="007734ED">
      <w:pPr>
        <w:pStyle w:val="a8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n175"/>
      <w:bookmarkEnd w:id="13"/>
      <w:r w:rsidRPr="00EC0706">
        <w:rPr>
          <w:rFonts w:ascii="Times New Roman" w:hAnsi="Times New Roman" w:cs="Times New Roman"/>
          <w:sz w:val="28"/>
          <w:szCs w:val="28"/>
          <w:lang w:val="uk-UA"/>
        </w:rPr>
        <w:t xml:space="preserve">Базове відстеження результативності регуляторного акта буде здійснюватися після набрання ним чинності шляхом аналізу статистичних даних, але не пізніше дня, з якого починається проведення повторного відстеження результативності цього акта. </w:t>
      </w:r>
    </w:p>
    <w:p w:rsidR="007734ED" w:rsidRPr="00EC0706" w:rsidRDefault="007734ED" w:rsidP="007734ED">
      <w:pPr>
        <w:pStyle w:val="a8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EC0706">
        <w:rPr>
          <w:rFonts w:ascii="Times New Roman" w:hAnsi="Times New Roman" w:cs="Times New Roman"/>
          <w:sz w:val="28"/>
          <w:szCs w:val="28"/>
          <w:lang w:val="uk-UA"/>
        </w:rPr>
        <w:t>Повторне відстеження здійснюватиметься через рік з дня набрання ним чинності, але не пізніше двох років з дня набрання чинності цим актом.</w:t>
      </w:r>
    </w:p>
    <w:p w:rsidR="003219E7" w:rsidRPr="00EC0706" w:rsidRDefault="007734ED" w:rsidP="007734ED">
      <w:pPr>
        <w:pStyle w:val="a8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EC0706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Періодичні відстеження результативності будуть здійснюватися раз на кожні три роки, починаючи з дня закінчення заходів з повторного відстеження результативності цього акта</w:t>
      </w:r>
      <w:r w:rsidR="001F4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9E7" w:rsidRPr="00EC0706" w:rsidRDefault="003219E7" w:rsidP="00D32FB0">
      <w:pPr>
        <w:shd w:val="clear" w:color="auto" w:fill="FFFFFF"/>
        <w:spacing w:before="0"/>
        <w:textAlignment w:val="baseline"/>
        <w:rPr>
          <w:sz w:val="28"/>
          <w:szCs w:val="28"/>
          <w:lang w:val="uk-UA"/>
        </w:rPr>
      </w:pPr>
    </w:p>
    <w:p w:rsidR="00C076AA" w:rsidRDefault="00C076AA" w:rsidP="00D32FB0">
      <w:pPr>
        <w:spacing w:before="0"/>
        <w:ind w:firstLine="0"/>
        <w:rPr>
          <w:b/>
          <w:bCs/>
          <w:sz w:val="28"/>
          <w:szCs w:val="28"/>
          <w:lang w:val="uk-UA"/>
        </w:rPr>
      </w:pPr>
    </w:p>
    <w:p w:rsidR="001F4D9D" w:rsidRPr="001F4D9D" w:rsidRDefault="001F4D9D" w:rsidP="001F4D9D">
      <w:pPr>
        <w:spacing w:before="0"/>
        <w:ind w:firstLine="0"/>
        <w:rPr>
          <w:b/>
          <w:bCs/>
          <w:sz w:val="28"/>
          <w:szCs w:val="28"/>
          <w:lang w:val="uk-UA"/>
        </w:rPr>
      </w:pPr>
      <w:r w:rsidRPr="001F4D9D">
        <w:rPr>
          <w:b/>
          <w:bCs/>
          <w:sz w:val="28"/>
          <w:szCs w:val="28"/>
          <w:lang w:val="uk-UA"/>
        </w:rPr>
        <w:t>Голова Державної інспекції</w:t>
      </w:r>
    </w:p>
    <w:p w:rsidR="003219E7" w:rsidRPr="001F4D9D" w:rsidRDefault="001F4D9D" w:rsidP="001F4D9D">
      <w:pPr>
        <w:spacing w:before="0"/>
        <w:ind w:firstLine="0"/>
        <w:rPr>
          <w:b/>
          <w:bCs/>
          <w:sz w:val="28"/>
          <w:szCs w:val="28"/>
          <w:lang w:val="uk-UA"/>
        </w:rPr>
      </w:pPr>
      <w:r w:rsidRPr="001F4D9D">
        <w:rPr>
          <w:b/>
          <w:bCs/>
          <w:sz w:val="28"/>
          <w:szCs w:val="28"/>
          <w:lang w:val="uk-UA"/>
        </w:rPr>
        <w:t>енергетичного нагляду України</w:t>
      </w:r>
      <w:r w:rsidRPr="001F4D9D">
        <w:rPr>
          <w:b/>
          <w:bCs/>
          <w:sz w:val="28"/>
          <w:szCs w:val="28"/>
          <w:lang w:val="uk-UA"/>
        </w:rPr>
        <w:tab/>
      </w:r>
      <w:r w:rsidRPr="001F4D9D">
        <w:rPr>
          <w:b/>
          <w:bCs/>
          <w:sz w:val="28"/>
          <w:szCs w:val="28"/>
          <w:lang w:val="uk-UA"/>
        </w:rPr>
        <w:tab/>
        <w:t xml:space="preserve">                           </w:t>
      </w:r>
      <w:r w:rsidRPr="001F4D9D">
        <w:rPr>
          <w:b/>
          <w:sz w:val="28"/>
          <w:szCs w:val="32"/>
          <w:lang w:val="uk-UA"/>
        </w:rPr>
        <w:t>Руслан СЛОБОДЯН</w:t>
      </w:r>
      <w:r w:rsidR="003219E7" w:rsidRPr="001F4D9D">
        <w:rPr>
          <w:b/>
          <w:bCs/>
          <w:sz w:val="28"/>
          <w:szCs w:val="28"/>
          <w:lang w:val="uk-UA"/>
        </w:rPr>
        <w:t xml:space="preserve"> </w:t>
      </w:r>
    </w:p>
    <w:p w:rsidR="003219E7" w:rsidRPr="00EC0706" w:rsidRDefault="003219E7" w:rsidP="00D32FB0">
      <w:pPr>
        <w:spacing w:before="0"/>
        <w:rPr>
          <w:sz w:val="28"/>
          <w:szCs w:val="28"/>
          <w:lang w:val="uk-UA"/>
        </w:rPr>
      </w:pPr>
    </w:p>
    <w:p w:rsidR="002A5501" w:rsidRPr="00EC0706" w:rsidRDefault="004E2F48" w:rsidP="008D21D2">
      <w:pPr>
        <w:spacing w:before="0"/>
        <w:ind w:firstLine="0"/>
        <w:rPr>
          <w:sz w:val="28"/>
          <w:szCs w:val="28"/>
          <w:lang w:val="uk-UA"/>
        </w:rPr>
      </w:pPr>
      <w:r w:rsidRPr="00EC0706">
        <w:rPr>
          <w:sz w:val="28"/>
          <w:szCs w:val="28"/>
          <w:lang w:val="uk-UA"/>
        </w:rPr>
        <w:t>«</w:t>
      </w:r>
      <w:r w:rsidR="003219E7" w:rsidRPr="00EC0706">
        <w:rPr>
          <w:sz w:val="28"/>
          <w:szCs w:val="28"/>
          <w:lang w:val="uk-UA"/>
        </w:rPr>
        <w:t>___</w:t>
      </w:r>
      <w:r w:rsidRPr="00EC0706">
        <w:rPr>
          <w:sz w:val="28"/>
          <w:szCs w:val="28"/>
          <w:lang w:val="uk-UA"/>
        </w:rPr>
        <w:t xml:space="preserve">» </w:t>
      </w:r>
      <w:r w:rsidR="003219E7" w:rsidRPr="00EC0706">
        <w:rPr>
          <w:sz w:val="28"/>
          <w:szCs w:val="28"/>
          <w:lang w:val="uk-UA"/>
        </w:rPr>
        <w:t>__________</w:t>
      </w:r>
      <w:r w:rsidRPr="00EC0706">
        <w:rPr>
          <w:sz w:val="28"/>
          <w:szCs w:val="28"/>
          <w:lang w:val="uk-UA"/>
        </w:rPr>
        <w:t xml:space="preserve"> </w:t>
      </w:r>
      <w:r w:rsidR="003219E7" w:rsidRPr="00EC0706">
        <w:rPr>
          <w:sz w:val="28"/>
          <w:szCs w:val="28"/>
          <w:lang w:val="uk-UA"/>
        </w:rPr>
        <w:t>202</w:t>
      </w:r>
      <w:r w:rsidR="001F4D9D">
        <w:rPr>
          <w:sz w:val="28"/>
          <w:szCs w:val="28"/>
          <w:lang w:val="uk-UA"/>
        </w:rPr>
        <w:t>2</w:t>
      </w:r>
      <w:r w:rsidR="008D21D2" w:rsidRPr="00EC0706">
        <w:rPr>
          <w:sz w:val="28"/>
          <w:szCs w:val="28"/>
          <w:lang w:val="uk-UA"/>
        </w:rPr>
        <w:t xml:space="preserve"> р.</w:t>
      </w:r>
    </w:p>
    <w:sectPr w:rsidR="002A5501" w:rsidRPr="00EC0706" w:rsidSect="00D92354">
      <w:headerReference w:type="default" r:id="rId8"/>
      <w:footerReference w:type="default" r:id="rId9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C3" w:rsidRDefault="00A103C3">
      <w:r>
        <w:separator/>
      </w:r>
    </w:p>
  </w:endnote>
  <w:endnote w:type="continuationSeparator" w:id="0">
    <w:p w:rsidR="00A103C3" w:rsidRDefault="00A1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E7" w:rsidRDefault="003219E7" w:rsidP="005770C4">
    <w:pPr>
      <w:pStyle w:val="a3"/>
      <w:framePr w:wrap="auto" w:vAnchor="text" w:hAnchor="margin" w:xAlign="center" w:y="1"/>
      <w:rPr>
        <w:rStyle w:val="a7"/>
      </w:rPr>
    </w:pPr>
  </w:p>
  <w:p w:rsidR="003219E7" w:rsidRDefault="003219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C3" w:rsidRDefault="00A103C3">
      <w:r>
        <w:separator/>
      </w:r>
    </w:p>
  </w:footnote>
  <w:footnote w:type="continuationSeparator" w:id="0">
    <w:p w:rsidR="00A103C3" w:rsidRDefault="00A1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E7" w:rsidRPr="007D773F" w:rsidRDefault="003219E7">
    <w:pPr>
      <w:pStyle w:val="a5"/>
      <w:jc w:val="center"/>
      <w:rPr>
        <w:sz w:val="28"/>
      </w:rPr>
    </w:pPr>
    <w:r w:rsidRPr="007D773F">
      <w:rPr>
        <w:sz w:val="28"/>
      </w:rPr>
      <w:fldChar w:fldCharType="begin"/>
    </w:r>
    <w:r w:rsidRPr="007D773F">
      <w:rPr>
        <w:sz w:val="28"/>
      </w:rPr>
      <w:instrText xml:space="preserve"> PAGE   \* MERGEFORMAT </w:instrText>
    </w:r>
    <w:r w:rsidRPr="007D773F">
      <w:rPr>
        <w:sz w:val="28"/>
      </w:rPr>
      <w:fldChar w:fldCharType="separate"/>
    </w:r>
    <w:r w:rsidR="00144D2A">
      <w:rPr>
        <w:noProof/>
        <w:sz w:val="28"/>
      </w:rPr>
      <w:t>2</w:t>
    </w:r>
    <w:r w:rsidRPr="007D773F">
      <w:rPr>
        <w:sz w:val="28"/>
      </w:rPr>
      <w:fldChar w:fldCharType="end"/>
    </w:r>
  </w:p>
  <w:p w:rsidR="003219E7" w:rsidRDefault="003219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378"/>
    <w:multiLevelType w:val="hybridMultilevel"/>
    <w:tmpl w:val="B6986B84"/>
    <w:lvl w:ilvl="0" w:tplc="0419000F">
      <w:start w:val="1"/>
      <w:numFmt w:val="decimal"/>
      <w:lvlText w:val="%1."/>
      <w:lvlJc w:val="left"/>
      <w:pPr>
        <w:ind w:left="10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 w15:restartNumberingAfterBreak="0">
    <w:nsid w:val="1FB64728"/>
    <w:multiLevelType w:val="hybridMultilevel"/>
    <w:tmpl w:val="998629CE"/>
    <w:lvl w:ilvl="0" w:tplc="479E0978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FD431EF"/>
    <w:multiLevelType w:val="hybridMultilevel"/>
    <w:tmpl w:val="3686FC06"/>
    <w:lvl w:ilvl="0" w:tplc="3604A8AA">
      <w:start w:val="1"/>
      <w:numFmt w:val="upperRoman"/>
      <w:suff w:val="space"/>
      <w:lvlText w:val="%1."/>
      <w:lvlJc w:val="right"/>
      <w:pPr>
        <w:ind w:left="1005" w:hanging="1005"/>
      </w:pPr>
      <w:rPr>
        <w:rFonts w:cs="Times New Roman" w:hint="default"/>
      </w:rPr>
    </w:lvl>
    <w:lvl w:ilvl="1" w:tplc="35A2F8B8">
      <w:start w:val="1"/>
      <w:numFmt w:val="decimal"/>
      <w:suff w:val="space"/>
      <w:lvlText w:val="%2."/>
      <w:lvlJc w:val="left"/>
      <w:pPr>
        <w:ind w:left="1789" w:hanging="360"/>
      </w:pPr>
      <w:rPr>
        <w:rFonts w:cs="Times New Roman" w:hint="default"/>
      </w:rPr>
    </w:lvl>
    <w:lvl w:ilvl="2" w:tplc="EBC22B18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2C27800"/>
    <w:multiLevelType w:val="hybridMultilevel"/>
    <w:tmpl w:val="33ACABC4"/>
    <w:lvl w:ilvl="0" w:tplc="108624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C082F53"/>
    <w:multiLevelType w:val="hybridMultilevel"/>
    <w:tmpl w:val="8BA80E4C"/>
    <w:lvl w:ilvl="0" w:tplc="D32E234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146F1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5B2BC1"/>
    <w:multiLevelType w:val="hybridMultilevel"/>
    <w:tmpl w:val="590C9F70"/>
    <w:lvl w:ilvl="0" w:tplc="23E6B834">
      <w:start w:val="1"/>
      <w:numFmt w:val="decimal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6" w15:restartNumberingAfterBreak="0">
    <w:nsid w:val="66D95ADA"/>
    <w:multiLevelType w:val="hybridMultilevel"/>
    <w:tmpl w:val="6E6459DA"/>
    <w:lvl w:ilvl="0" w:tplc="4DF07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62C0B"/>
    <w:multiLevelType w:val="hybridMultilevel"/>
    <w:tmpl w:val="A45CE5E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3D032AE"/>
    <w:multiLevelType w:val="hybridMultilevel"/>
    <w:tmpl w:val="15CCAB98"/>
    <w:lvl w:ilvl="0" w:tplc="3722924C">
      <w:start w:val="1"/>
      <w:numFmt w:val="bullet"/>
      <w:lvlText w:val="-"/>
      <w:lvlJc w:val="left"/>
      <w:pPr>
        <w:ind w:left="148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A51F1E"/>
    <w:multiLevelType w:val="hybridMultilevel"/>
    <w:tmpl w:val="ECE24732"/>
    <w:lvl w:ilvl="0" w:tplc="BD4489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CDE2840"/>
    <w:multiLevelType w:val="hybridMultilevel"/>
    <w:tmpl w:val="95D8128A"/>
    <w:lvl w:ilvl="0" w:tplc="5354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9F"/>
    <w:rsid w:val="0000033D"/>
    <w:rsid w:val="00003ECD"/>
    <w:rsid w:val="00004832"/>
    <w:rsid w:val="000065FE"/>
    <w:rsid w:val="00007904"/>
    <w:rsid w:val="0001369B"/>
    <w:rsid w:val="00014B3C"/>
    <w:rsid w:val="00015B3D"/>
    <w:rsid w:val="00016F7C"/>
    <w:rsid w:val="0002139E"/>
    <w:rsid w:val="000226AD"/>
    <w:rsid w:val="00024E47"/>
    <w:rsid w:val="00033297"/>
    <w:rsid w:val="00041A78"/>
    <w:rsid w:val="00047B70"/>
    <w:rsid w:val="00050060"/>
    <w:rsid w:val="00050980"/>
    <w:rsid w:val="000575CA"/>
    <w:rsid w:val="00061C57"/>
    <w:rsid w:val="00061C67"/>
    <w:rsid w:val="000707AC"/>
    <w:rsid w:val="00072E65"/>
    <w:rsid w:val="00077E53"/>
    <w:rsid w:val="00080C8F"/>
    <w:rsid w:val="00086453"/>
    <w:rsid w:val="00086591"/>
    <w:rsid w:val="000867FA"/>
    <w:rsid w:val="000943C2"/>
    <w:rsid w:val="000B12B4"/>
    <w:rsid w:val="000B14B8"/>
    <w:rsid w:val="000B1E15"/>
    <w:rsid w:val="000B763A"/>
    <w:rsid w:val="000C6131"/>
    <w:rsid w:val="000C64E1"/>
    <w:rsid w:val="000D1BF8"/>
    <w:rsid w:val="000E13A1"/>
    <w:rsid w:val="000E4B82"/>
    <w:rsid w:val="000F3014"/>
    <w:rsid w:val="000F4EF2"/>
    <w:rsid w:val="000F6131"/>
    <w:rsid w:val="000F6992"/>
    <w:rsid w:val="00104EC5"/>
    <w:rsid w:val="001154E7"/>
    <w:rsid w:val="00121351"/>
    <w:rsid w:val="00125E22"/>
    <w:rsid w:val="0012652F"/>
    <w:rsid w:val="001276BD"/>
    <w:rsid w:val="00142D7E"/>
    <w:rsid w:val="00143B72"/>
    <w:rsid w:val="00144D2A"/>
    <w:rsid w:val="00146B91"/>
    <w:rsid w:val="00147800"/>
    <w:rsid w:val="00150485"/>
    <w:rsid w:val="00153B0E"/>
    <w:rsid w:val="0015494E"/>
    <w:rsid w:val="00156FDC"/>
    <w:rsid w:val="00160F96"/>
    <w:rsid w:val="00174810"/>
    <w:rsid w:val="00176CF3"/>
    <w:rsid w:val="0017769E"/>
    <w:rsid w:val="00180639"/>
    <w:rsid w:val="00180A0E"/>
    <w:rsid w:val="001921AC"/>
    <w:rsid w:val="00193B8B"/>
    <w:rsid w:val="00196475"/>
    <w:rsid w:val="001A141C"/>
    <w:rsid w:val="001A2A51"/>
    <w:rsid w:val="001A57A6"/>
    <w:rsid w:val="001B160C"/>
    <w:rsid w:val="001B23E4"/>
    <w:rsid w:val="001B5DE5"/>
    <w:rsid w:val="001C10BF"/>
    <w:rsid w:val="001C658E"/>
    <w:rsid w:val="001C6864"/>
    <w:rsid w:val="001D24C4"/>
    <w:rsid w:val="001E1F4B"/>
    <w:rsid w:val="001E4437"/>
    <w:rsid w:val="001E5D75"/>
    <w:rsid w:val="001E6E56"/>
    <w:rsid w:val="001F1528"/>
    <w:rsid w:val="001F4D9D"/>
    <w:rsid w:val="002022D9"/>
    <w:rsid w:val="00207235"/>
    <w:rsid w:val="0022635F"/>
    <w:rsid w:val="00227422"/>
    <w:rsid w:val="002275D7"/>
    <w:rsid w:val="00232F91"/>
    <w:rsid w:val="00233CC6"/>
    <w:rsid w:val="00234224"/>
    <w:rsid w:val="00242CAE"/>
    <w:rsid w:val="00242F77"/>
    <w:rsid w:val="00260EDC"/>
    <w:rsid w:val="002619C1"/>
    <w:rsid w:val="00262E97"/>
    <w:rsid w:val="002640DA"/>
    <w:rsid w:val="0026606E"/>
    <w:rsid w:val="00284756"/>
    <w:rsid w:val="00284890"/>
    <w:rsid w:val="00295835"/>
    <w:rsid w:val="002A05F5"/>
    <w:rsid w:val="002A148E"/>
    <w:rsid w:val="002A488A"/>
    <w:rsid w:val="002A4D50"/>
    <w:rsid w:val="002A5501"/>
    <w:rsid w:val="002D544A"/>
    <w:rsid w:val="002E0877"/>
    <w:rsid w:val="002E6D09"/>
    <w:rsid w:val="002F0E4B"/>
    <w:rsid w:val="002F2DB6"/>
    <w:rsid w:val="002F5B6A"/>
    <w:rsid w:val="002F7DD6"/>
    <w:rsid w:val="00303729"/>
    <w:rsid w:val="00307F0F"/>
    <w:rsid w:val="00313FA8"/>
    <w:rsid w:val="0031407D"/>
    <w:rsid w:val="003173C3"/>
    <w:rsid w:val="003219E7"/>
    <w:rsid w:val="0032427A"/>
    <w:rsid w:val="00327DC1"/>
    <w:rsid w:val="00335819"/>
    <w:rsid w:val="00343499"/>
    <w:rsid w:val="003449D5"/>
    <w:rsid w:val="00350430"/>
    <w:rsid w:val="00350753"/>
    <w:rsid w:val="003538C5"/>
    <w:rsid w:val="00354703"/>
    <w:rsid w:val="003547D7"/>
    <w:rsid w:val="00357BC2"/>
    <w:rsid w:val="00360B7A"/>
    <w:rsid w:val="00365DC7"/>
    <w:rsid w:val="00366D23"/>
    <w:rsid w:val="00370350"/>
    <w:rsid w:val="00374BBD"/>
    <w:rsid w:val="00375610"/>
    <w:rsid w:val="00375932"/>
    <w:rsid w:val="0038357F"/>
    <w:rsid w:val="00384DBA"/>
    <w:rsid w:val="003917A8"/>
    <w:rsid w:val="00391ECF"/>
    <w:rsid w:val="00392AC4"/>
    <w:rsid w:val="00394E69"/>
    <w:rsid w:val="003A4DEC"/>
    <w:rsid w:val="003A5F6D"/>
    <w:rsid w:val="003A79EA"/>
    <w:rsid w:val="003B6ADE"/>
    <w:rsid w:val="003C4449"/>
    <w:rsid w:val="003C4E25"/>
    <w:rsid w:val="003C664B"/>
    <w:rsid w:val="003D11B0"/>
    <w:rsid w:val="003E0F8B"/>
    <w:rsid w:val="003E34A6"/>
    <w:rsid w:val="003E4449"/>
    <w:rsid w:val="003E4B07"/>
    <w:rsid w:val="003E644D"/>
    <w:rsid w:val="003F4889"/>
    <w:rsid w:val="00401B37"/>
    <w:rsid w:val="00405763"/>
    <w:rsid w:val="004059B4"/>
    <w:rsid w:val="00410A2B"/>
    <w:rsid w:val="00411BA5"/>
    <w:rsid w:val="00414E8B"/>
    <w:rsid w:val="00415020"/>
    <w:rsid w:val="00415BF7"/>
    <w:rsid w:val="0042574B"/>
    <w:rsid w:val="00431A48"/>
    <w:rsid w:val="00432FB8"/>
    <w:rsid w:val="004414A0"/>
    <w:rsid w:val="0046082D"/>
    <w:rsid w:val="0046128B"/>
    <w:rsid w:val="00462D93"/>
    <w:rsid w:val="004645DE"/>
    <w:rsid w:val="00467E22"/>
    <w:rsid w:val="00470ED5"/>
    <w:rsid w:val="00474C41"/>
    <w:rsid w:val="00474CAE"/>
    <w:rsid w:val="004777F3"/>
    <w:rsid w:val="0048502D"/>
    <w:rsid w:val="00485AAE"/>
    <w:rsid w:val="00490102"/>
    <w:rsid w:val="00494E91"/>
    <w:rsid w:val="004A0277"/>
    <w:rsid w:val="004A0F9C"/>
    <w:rsid w:val="004A169D"/>
    <w:rsid w:val="004A420B"/>
    <w:rsid w:val="004B5402"/>
    <w:rsid w:val="004C136C"/>
    <w:rsid w:val="004C2B2F"/>
    <w:rsid w:val="004C7529"/>
    <w:rsid w:val="004C789B"/>
    <w:rsid w:val="004C7CB9"/>
    <w:rsid w:val="004D047C"/>
    <w:rsid w:val="004E2F48"/>
    <w:rsid w:val="004E748B"/>
    <w:rsid w:val="004F140C"/>
    <w:rsid w:val="004F3A0E"/>
    <w:rsid w:val="004F4D76"/>
    <w:rsid w:val="005023C1"/>
    <w:rsid w:val="005067DB"/>
    <w:rsid w:val="005114B3"/>
    <w:rsid w:val="005138C1"/>
    <w:rsid w:val="0051652F"/>
    <w:rsid w:val="00523FF0"/>
    <w:rsid w:val="0053124B"/>
    <w:rsid w:val="005325DA"/>
    <w:rsid w:val="00533E9F"/>
    <w:rsid w:val="00533EA7"/>
    <w:rsid w:val="00535615"/>
    <w:rsid w:val="00541862"/>
    <w:rsid w:val="005440B6"/>
    <w:rsid w:val="005457B3"/>
    <w:rsid w:val="00546A79"/>
    <w:rsid w:val="00550D5C"/>
    <w:rsid w:val="00555DAF"/>
    <w:rsid w:val="00560803"/>
    <w:rsid w:val="00561A21"/>
    <w:rsid w:val="005645E2"/>
    <w:rsid w:val="00566273"/>
    <w:rsid w:val="00567CAB"/>
    <w:rsid w:val="00571AFD"/>
    <w:rsid w:val="00571DB7"/>
    <w:rsid w:val="005770C4"/>
    <w:rsid w:val="00577271"/>
    <w:rsid w:val="00582601"/>
    <w:rsid w:val="00586CB4"/>
    <w:rsid w:val="00590414"/>
    <w:rsid w:val="00592767"/>
    <w:rsid w:val="005944C3"/>
    <w:rsid w:val="00594A25"/>
    <w:rsid w:val="00595392"/>
    <w:rsid w:val="00597B97"/>
    <w:rsid w:val="005A4EB6"/>
    <w:rsid w:val="005B48B7"/>
    <w:rsid w:val="005C1D7A"/>
    <w:rsid w:val="005C4812"/>
    <w:rsid w:val="005C7416"/>
    <w:rsid w:val="005D5B5A"/>
    <w:rsid w:val="005D6018"/>
    <w:rsid w:val="005E320E"/>
    <w:rsid w:val="005E4884"/>
    <w:rsid w:val="005E6CBB"/>
    <w:rsid w:val="005F53A8"/>
    <w:rsid w:val="0060010D"/>
    <w:rsid w:val="00601A5C"/>
    <w:rsid w:val="00601F03"/>
    <w:rsid w:val="00602BC0"/>
    <w:rsid w:val="00607DDE"/>
    <w:rsid w:val="00612DA4"/>
    <w:rsid w:val="00613F92"/>
    <w:rsid w:val="006242E4"/>
    <w:rsid w:val="00624F04"/>
    <w:rsid w:val="00633C77"/>
    <w:rsid w:val="006340B6"/>
    <w:rsid w:val="00634467"/>
    <w:rsid w:val="0063460C"/>
    <w:rsid w:val="00635014"/>
    <w:rsid w:val="006409AF"/>
    <w:rsid w:val="006469C8"/>
    <w:rsid w:val="00652B5A"/>
    <w:rsid w:val="0065491A"/>
    <w:rsid w:val="00657FB4"/>
    <w:rsid w:val="00660B2C"/>
    <w:rsid w:val="006629A1"/>
    <w:rsid w:val="00672632"/>
    <w:rsid w:val="0067774D"/>
    <w:rsid w:val="00680458"/>
    <w:rsid w:val="006871D4"/>
    <w:rsid w:val="0069557C"/>
    <w:rsid w:val="006A098C"/>
    <w:rsid w:val="006A40D6"/>
    <w:rsid w:val="006A52EA"/>
    <w:rsid w:val="006B2B26"/>
    <w:rsid w:val="006B403D"/>
    <w:rsid w:val="006B52C0"/>
    <w:rsid w:val="006C4B30"/>
    <w:rsid w:val="006D70FC"/>
    <w:rsid w:val="006D740F"/>
    <w:rsid w:val="006E61D2"/>
    <w:rsid w:val="006F1935"/>
    <w:rsid w:val="006F36E6"/>
    <w:rsid w:val="006F6E04"/>
    <w:rsid w:val="00702F20"/>
    <w:rsid w:val="00711362"/>
    <w:rsid w:val="00721E33"/>
    <w:rsid w:val="00726101"/>
    <w:rsid w:val="00731758"/>
    <w:rsid w:val="00734248"/>
    <w:rsid w:val="00734450"/>
    <w:rsid w:val="00736364"/>
    <w:rsid w:val="00736FD8"/>
    <w:rsid w:val="00744059"/>
    <w:rsid w:val="00745295"/>
    <w:rsid w:val="007467DE"/>
    <w:rsid w:val="0074744F"/>
    <w:rsid w:val="00751AA4"/>
    <w:rsid w:val="00754679"/>
    <w:rsid w:val="00754DFC"/>
    <w:rsid w:val="0075686C"/>
    <w:rsid w:val="00756A33"/>
    <w:rsid w:val="0076166F"/>
    <w:rsid w:val="00761ADA"/>
    <w:rsid w:val="007626C2"/>
    <w:rsid w:val="007707D4"/>
    <w:rsid w:val="00772DDD"/>
    <w:rsid w:val="007734ED"/>
    <w:rsid w:val="00774441"/>
    <w:rsid w:val="00775069"/>
    <w:rsid w:val="00776092"/>
    <w:rsid w:val="00776218"/>
    <w:rsid w:val="00784D37"/>
    <w:rsid w:val="007879DC"/>
    <w:rsid w:val="00787BE3"/>
    <w:rsid w:val="007947C1"/>
    <w:rsid w:val="007A3D15"/>
    <w:rsid w:val="007A53FA"/>
    <w:rsid w:val="007B0E72"/>
    <w:rsid w:val="007B5E75"/>
    <w:rsid w:val="007D1D7D"/>
    <w:rsid w:val="007D58BB"/>
    <w:rsid w:val="007D773F"/>
    <w:rsid w:val="007E0661"/>
    <w:rsid w:val="007E38E5"/>
    <w:rsid w:val="007F0B09"/>
    <w:rsid w:val="007F384B"/>
    <w:rsid w:val="007F4A0D"/>
    <w:rsid w:val="00801E0B"/>
    <w:rsid w:val="00807AC7"/>
    <w:rsid w:val="00810D73"/>
    <w:rsid w:val="0082102A"/>
    <w:rsid w:val="00830770"/>
    <w:rsid w:val="00830FF0"/>
    <w:rsid w:val="00844D3F"/>
    <w:rsid w:val="00845C6F"/>
    <w:rsid w:val="00847991"/>
    <w:rsid w:val="008502FE"/>
    <w:rsid w:val="00850359"/>
    <w:rsid w:val="008508A4"/>
    <w:rsid w:val="00850B44"/>
    <w:rsid w:val="00855E74"/>
    <w:rsid w:val="008614F0"/>
    <w:rsid w:val="00866C1D"/>
    <w:rsid w:val="00866F9A"/>
    <w:rsid w:val="00870522"/>
    <w:rsid w:val="008806D9"/>
    <w:rsid w:val="0088798A"/>
    <w:rsid w:val="00890E65"/>
    <w:rsid w:val="00893A73"/>
    <w:rsid w:val="00895BF8"/>
    <w:rsid w:val="00896A61"/>
    <w:rsid w:val="00897EF9"/>
    <w:rsid w:val="008A1FA0"/>
    <w:rsid w:val="008A20B7"/>
    <w:rsid w:val="008A4AEF"/>
    <w:rsid w:val="008A5F31"/>
    <w:rsid w:val="008B1E4A"/>
    <w:rsid w:val="008C1605"/>
    <w:rsid w:val="008C1674"/>
    <w:rsid w:val="008C36E1"/>
    <w:rsid w:val="008C5012"/>
    <w:rsid w:val="008D21D2"/>
    <w:rsid w:val="008D34A6"/>
    <w:rsid w:val="008D6A0B"/>
    <w:rsid w:val="008D6EC8"/>
    <w:rsid w:val="008D71B8"/>
    <w:rsid w:val="008E61E7"/>
    <w:rsid w:val="008E74D1"/>
    <w:rsid w:val="008F1FC6"/>
    <w:rsid w:val="008F3A3A"/>
    <w:rsid w:val="008F6D5B"/>
    <w:rsid w:val="00902116"/>
    <w:rsid w:val="0090282F"/>
    <w:rsid w:val="00902DED"/>
    <w:rsid w:val="00903679"/>
    <w:rsid w:val="00907D08"/>
    <w:rsid w:val="00907E55"/>
    <w:rsid w:val="00910BE5"/>
    <w:rsid w:val="0091680E"/>
    <w:rsid w:val="00923DBC"/>
    <w:rsid w:val="00924410"/>
    <w:rsid w:val="00931E40"/>
    <w:rsid w:val="00931F73"/>
    <w:rsid w:val="00933F23"/>
    <w:rsid w:val="00934043"/>
    <w:rsid w:val="00935143"/>
    <w:rsid w:val="00937617"/>
    <w:rsid w:val="0094304A"/>
    <w:rsid w:val="0094673D"/>
    <w:rsid w:val="0095439E"/>
    <w:rsid w:val="0095712D"/>
    <w:rsid w:val="009600ED"/>
    <w:rsid w:val="00963B74"/>
    <w:rsid w:val="009712D3"/>
    <w:rsid w:val="009725CB"/>
    <w:rsid w:val="009746A6"/>
    <w:rsid w:val="00976678"/>
    <w:rsid w:val="00982E7D"/>
    <w:rsid w:val="00983239"/>
    <w:rsid w:val="00986520"/>
    <w:rsid w:val="00987AF5"/>
    <w:rsid w:val="0099260D"/>
    <w:rsid w:val="00993B07"/>
    <w:rsid w:val="00994B94"/>
    <w:rsid w:val="009A54FE"/>
    <w:rsid w:val="009A6E7C"/>
    <w:rsid w:val="009A76A3"/>
    <w:rsid w:val="009B0873"/>
    <w:rsid w:val="009B5B7B"/>
    <w:rsid w:val="009C3263"/>
    <w:rsid w:val="009C403D"/>
    <w:rsid w:val="009C438C"/>
    <w:rsid w:val="009D147D"/>
    <w:rsid w:val="009D2E0E"/>
    <w:rsid w:val="009D4124"/>
    <w:rsid w:val="009D5130"/>
    <w:rsid w:val="009D5831"/>
    <w:rsid w:val="009E41B1"/>
    <w:rsid w:val="009E58E3"/>
    <w:rsid w:val="009F17AB"/>
    <w:rsid w:val="009F23C8"/>
    <w:rsid w:val="009F4AB7"/>
    <w:rsid w:val="009F640C"/>
    <w:rsid w:val="00A01BA0"/>
    <w:rsid w:val="00A02490"/>
    <w:rsid w:val="00A103C3"/>
    <w:rsid w:val="00A1067D"/>
    <w:rsid w:val="00A11CC8"/>
    <w:rsid w:val="00A15A38"/>
    <w:rsid w:val="00A2624D"/>
    <w:rsid w:val="00A267CE"/>
    <w:rsid w:val="00A26BC5"/>
    <w:rsid w:val="00A33347"/>
    <w:rsid w:val="00A35524"/>
    <w:rsid w:val="00A36405"/>
    <w:rsid w:val="00A37718"/>
    <w:rsid w:val="00A421CD"/>
    <w:rsid w:val="00A52AAD"/>
    <w:rsid w:val="00A60C8E"/>
    <w:rsid w:val="00A62241"/>
    <w:rsid w:val="00A62E9E"/>
    <w:rsid w:val="00A6721B"/>
    <w:rsid w:val="00A67856"/>
    <w:rsid w:val="00A70EE1"/>
    <w:rsid w:val="00A72609"/>
    <w:rsid w:val="00A73311"/>
    <w:rsid w:val="00A769B0"/>
    <w:rsid w:val="00A84728"/>
    <w:rsid w:val="00A84D71"/>
    <w:rsid w:val="00A92689"/>
    <w:rsid w:val="00AA300F"/>
    <w:rsid w:val="00AA4BDB"/>
    <w:rsid w:val="00AA546C"/>
    <w:rsid w:val="00AA7DCB"/>
    <w:rsid w:val="00AA7FAC"/>
    <w:rsid w:val="00AB31FE"/>
    <w:rsid w:val="00AB44F5"/>
    <w:rsid w:val="00AC7279"/>
    <w:rsid w:val="00AC72D6"/>
    <w:rsid w:val="00AC7C26"/>
    <w:rsid w:val="00AD14A8"/>
    <w:rsid w:val="00AD2379"/>
    <w:rsid w:val="00AE239B"/>
    <w:rsid w:val="00AE513F"/>
    <w:rsid w:val="00AF26E0"/>
    <w:rsid w:val="00AF621C"/>
    <w:rsid w:val="00B00B02"/>
    <w:rsid w:val="00B0664D"/>
    <w:rsid w:val="00B07962"/>
    <w:rsid w:val="00B1534F"/>
    <w:rsid w:val="00B20366"/>
    <w:rsid w:val="00B206A8"/>
    <w:rsid w:val="00B22007"/>
    <w:rsid w:val="00B23DA8"/>
    <w:rsid w:val="00B342E9"/>
    <w:rsid w:val="00B34DE1"/>
    <w:rsid w:val="00B414BA"/>
    <w:rsid w:val="00B43702"/>
    <w:rsid w:val="00B4761C"/>
    <w:rsid w:val="00B4783C"/>
    <w:rsid w:val="00B51B62"/>
    <w:rsid w:val="00B542BF"/>
    <w:rsid w:val="00B548EA"/>
    <w:rsid w:val="00B551F7"/>
    <w:rsid w:val="00B55504"/>
    <w:rsid w:val="00B5699E"/>
    <w:rsid w:val="00B630B7"/>
    <w:rsid w:val="00B64D57"/>
    <w:rsid w:val="00B70659"/>
    <w:rsid w:val="00B7478D"/>
    <w:rsid w:val="00B75C59"/>
    <w:rsid w:val="00B80DA4"/>
    <w:rsid w:val="00B822F4"/>
    <w:rsid w:val="00B82CFE"/>
    <w:rsid w:val="00B90D3D"/>
    <w:rsid w:val="00BA2612"/>
    <w:rsid w:val="00BA5647"/>
    <w:rsid w:val="00BA7B25"/>
    <w:rsid w:val="00BB492D"/>
    <w:rsid w:val="00BB6930"/>
    <w:rsid w:val="00BB7473"/>
    <w:rsid w:val="00BB7491"/>
    <w:rsid w:val="00BC1F38"/>
    <w:rsid w:val="00BC517B"/>
    <w:rsid w:val="00BD0747"/>
    <w:rsid w:val="00BD1C77"/>
    <w:rsid w:val="00BD29AF"/>
    <w:rsid w:val="00BD4576"/>
    <w:rsid w:val="00BD5482"/>
    <w:rsid w:val="00BD58A9"/>
    <w:rsid w:val="00BE13DA"/>
    <w:rsid w:val="00BE60DC"/>
    <w:rsid w:val="00BF13F8"/>
    <w:rsid w:val="00BF14FD"/>
    <w:rsid w:val="00BF30BC"/>
    <w:rsid w:val="00BF3EF6"/>
    <w:rsid w:val="00BF6236"/>
    <w:rsid w:val="00BF6857"/>
    <w:rsid w:val="00BF70F8"/>
    <w:rsid w:val="00C03EBB"/>
    <w:rsid w:val="00C076AA"/>
    <w:rsid w:val="00C10BCE"/>
    <w:rsid w:val="00C149E0"/>
    <w:rsid w:val="00C15B75"/>
    <w:rsid w:val="00C25B50"/>
    <w:rsid w:val="00C27F73"/>
    <w:rsid w:val="00C37E31"/>
    <w:rsid w:val="00C40158"/>
    <w:rsid w:val="00C41A9D"/>
    <w:rsid w:val="00C43EFB"/>
    <w:rsid w:val="00C51C1E"/>
    <w:rsid w:val="00C5258E"/>
    <w:rsid w:val="00C60C83"/>
    <w:rsid w:val="00C62E67"/>
    <w:rsid w:val="00C63478"/>
    <w:rsid w:val="00C65C65"/>
    <w:rsid w:val="00C70538"/>
    <w:rsid w:val="00C708C3"/>
    <w:rsid w:val="00C80F50"/>
    <w:rsid w:val="00C81B31"/>
    <w:rsid w:val="00C84692"/>
    <w:rsid w:val="00C860C4"/>
    <w:rsid w:val="00C861D3"/>
    <w:rsid w:val="00C86A9F"/>
    <w:rsid w:val="00C87AC2"/>
    <w:rsid w:val="00C92CCE"/>
    <w:rsid w:val="00C93F4A"/>
    <w:rsid w:val="00C94924"/>
    <w:rsid w:val="00C9615F"/>
    <w:rsid w:val="00CA4242"/>
    <w:rsid w:val="00CA667D"/>
    <w:rsid w:val="00CB2B29"/>
    <w:rsid w:val="00CB3325"/>
    <w:rsid w:val="00CB6A88"/>
    <w:rsid w:val="00CC1E61"/>
    <w:rsid w:val="00CC6CCD"/>
    <w:rsid w:val="00CC79EE"/>
    <w:rsid w:val="00CD1A40"/>
    <w:rsid w:val="00CD1AE1"/>
    <w:rsid w:val="00CD6BF3"/>
    <w:rsid w:val="00CE1AE7"/>
    <w:rsid w:val="00CE5AFD"/>
    <w:rsid w:val="00CF4BA1"/>
    <w:rsid w:val="00CF6E6A"/>
    <w:rsid w:val="00D02AAA"/>
    <w:rsid w:val="00D15877"/>
    <w:rsid w:val="00D1755C"/>
    <w:rsid w:val="00D2244C"/>
    <w:rsid w:val="00D2329A"/>
    <w:rsid w:val="00D26CF1"/>
    <w:rsid w:val="00D3004D"/>
    <w:rsid w:val="00D32FB0"/>
    <w:rsid w:val="00D331C3"/>
    <w:rsid w:val="00D33F75"/>
    <w:rsid w:val="00D35801"/>
    <w:rsid w:val="00D40C86"/>
    <w:rsid w:val="00D431F4"/>
    <w:rsid w:val="00D43650"/>
    <w:rsid w:val="00D43FFB"/>
    <w:rsid w:val="00D446E9"/>
    <w:rsid w:val="00D4760C"/>
    <w:rsid w:val="00D47CC4"/>
    <w:rsid w:val="00D53404"/>
    <w:rsid w:val="00D57FA7"/>
    <w:rsid w:val="00D61E4F"/>
    <w:rsid w:val="00D639DB"/>
    <w:rsid w:val="00D6561D"/>
    <w:rsid w:val="00D7551F"/>
    <w:rsid w:val="00D769F9"/>
    <w:rsid w:val="00D77739"/>
    <w:rsid w:val="00D77F46"/>
    <w:rsid w:val="00D813F2"/>
    <w:rsid w:val="00D839D3"/>
    <w:rsid w:val="00D856EF"/>
    <w:rsid w:val="00D920DF"/>
    <w:rsid w:val="00D92354"/>
    <w:rsid w:val="00DA219D"/>
    <w:rsid w:val="00DA3BA6"/>
    <w:rsid w:val="00DB0F82"/>
    <w:rsid w:val="00DB5981"/>
    <w:rsid w:val="00DC5293"/>
    <w:rsid w:val="00DD301C"/>
    <w:rsid w:val="00DD6C18"/>
    <w:rsid w:val="00DD6C24"/>
    <w:rsid w:val="00DD6E6E"/>
    <w:rsid w:val="00DE23A4"/>
    <w:rsid w:val="00DE6E05"/>
    <w:rsid w:val="00DE7483"/>
    <w:rsid w:val="00DF673C"/>
    <w:rsid w:val="00DF71E7"/>
    <w:rsid w:val="00E004FF"/>
    <w:rsid w:val="00E03F65"/>
    <w:rsid w:val="00E05110"/>
    <w:rsid w:val="00E0754B"/>
    <w:rsid w:val="00E11004"/>
    <w:rsid w:val="00E117A7"/>
    <w:rsid w:val="00E11A6A"/>
    <w:rsid w:val="00E1641D"/>
    <w:rsid w:val="00E2446C"/>
    <w:rsid w:val="00E31AB1"/>
    <w:rsid w:val="00E35BF2"/>
    <w:rsid w:val="00E35D4D"/>
    <w:rsid w:val="00E374DC"/>
    <w:rsid w:val="00E423D4"/>
    <w:rsid w:val="00E46665"/>
    <w:rsid w:val="00E47CE2"/>
    <w:rsid w:val="00E53615"/>
    <w:rsid w:val="00E55220"/>
    <w:rsid w:val="00E55F97"/>
    <w:rsid w:val="00E566BD"/>
    <w:rsid w:val="00E62802"/>
    <w:rsid w:val="00E63E38"/>
    <w:rsid w:val="00E6515D"/>
    <w:rsid w:val="00E6518B"/>
    <w:rsid w:val="00E65D95"/>
    <w:rsid w:val="00E71206"/>
    <w:rsid w:val="00E726A8"/>
    <w:rsid w:val="00E85078"/>
    <w:rsid w:val="00E85EEC"/>
    <w:rsid w:val="00EA58A7"/>
    <w:rsid w:val="00EA627B"/>
    <w:rsid w:val="00EA63CE"/>
    <w:rsid w:val="00EA7888"/>
    <w:rsid w:val="00EB0EF1"/>
    <w:rsid w:val="00EB15DF"/>
    <w:rsid w:val="00EB4047"/>
    <w:rsid w:val="00EB4E61"/>
    <w:rsid w:val="00EB78C9"/>
    <w:rsid w:val="00EB78D8"/>
    <w:rsid w:val="00EC06AB"/>
    <w:rsid w:val="00EC0706"/>
    <w:rsid w:val="00ED0E24"/>
    <w:rsid w:val="00ED5A2E"/>
    <w:rsid w:val="00EE1D11"/>
    <w:rsid w:val="00EE75DB"/>
    <w:rsid w:val="00EE7FD3"/>
    <w:rsid w:val="00EF0730"/>
    <w:rsid w:val="00EF1A7D"/>
    <w:rsid w:val="00EF38A8"/>
    <w:rsid w:val="00EF4750"/>
    <w:rsid w:val="00EF6E7B"/>
    <w:rsid w:val="00F0041B"/>
    <w:rsid w:val="00F02E7D"/>
    <w:rsid w:val="00F02EBE"/>
    <w:rsid w:val="00F109E8"/>
    <w:rsid w:val="00F10D69"/>
    <w:rsid w:val="00F13A1B"/>
    <w:rsid w:val="00F1649F"/>
    <w:rsid w:val="00F2234D"/>
    <w:rsid w:val="00F36726"/>
    <w:rsid w:val="00F36EA6"/>
    <w:rsid w:val="00F50CCB"/>
    <w:rsid w:val="00F5321D"/>
    <w:rsid w:val="00F53AC2"/>
    <w:rsid w:val="00F73CD2"/>
    <w:rsid w:val="00F769B8"/>
    <w:rsid w:val="00F8516C"/>
    <w:rsid w:val="00F86B94"/>
    <w:rsid w:val="00F93490"/>
    <w:rsid w:val="00F944BB"/>
    <w:rsid w:val="00F94E3C"/>
    <w:rsid w:val="00F95539"/>
    <w:rsid w:val="00FA20C3"/>
    <w:rsid w:val="00FA511A"/>
    <w:rsid w:val="00FA51BE"/>
    <w:rsid w:val="00FA6E6C"/>
    <w:rsid w:val="00FB1D51"/>
    <w:rsid w:val="00FB3CAE"/>
    <w:rsid w:val="00FB448C"/>
    <w:rsid w:val="00FB4D24"/>
    <w:rsid w:val="00FC2873"/>
    <w:rsid w:val="00FD0830"/>
    <w:rsid w:val="00FD425E"/>
    <w:rsid w:val="00FE10D9"/>
    <w:rsid w:val="00FE1483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D13034-A7E9-4AED-BE1F-841A3CCB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before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9F"/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B5DE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E4B0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Batang" w:hAnsi="Arial" w:cs="Arial"/>
      <w:sz w:val="30"/>
      <w:szCs w:val="30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DE5"/>
    <w:rPr>
      <w:rFonts w:ascii="Calibri Light" w:hAnsi="Calibri Light" w:cs="Calibri Light"/>
      <w:color w:val="2E74B5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E4B07"/>
    <w:rPr>
      <w:rFonts w:ascii="Arial" w:eastAsia="Batang" w:hAnsi="Arial" w:cs="Arial"/>
      <w:sz w:val="30"/>
      <w:szCs w:val="30"/>
      <w:lang w:val="x-none" w:eastAsia="ru-RU"/>
    </w:rPr>
  </w:style>
  <w:style w:type="paragraph" w:styleId="a3">
    <w:name w:val="footer"/>
    <w:basedOn w:val="a"/>
    <w:link w:val="a4"/>
    <w:uiPriority w:val="99"/>
    <w:rsid w:val="00533E9F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533E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33E9F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533E9F"/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33E9F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533E9F"/>
    <w:pPr>
      <w:spacing w:after="120" w:line="480" w:lineRule="auto"/>
      <w:ind w:left="283" w:firstLine="374"/>
    </w:pPr>
    <w:rPr>
      <w:lang w:val="uk-UA" w:eastAsia="en-US"/>
    </w:rPr>
  </w:style>
  <w:style w:type="paragraph" w:styleId="a8">
    <w:name w:val="No Spacing"/>
    <w:uiPriority w:val="99"/>
    <w:qFormat/>
    <w:rsid w:val="00533E9F"/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33E9F"/>
    <w:rPr>
      <w:rFonts w:ascii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533E9F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33E9F"/>
    <w:rPr>
      <w:lang w:val="uk-UA"/>
    </w:rPr>
  </w:style>
  <w:style w:type="paragraph" w:styleId="a9">
    <w:name w:val="Plain Text"/>
    <w:basedOn w:val="a"/>
    <w:link w:val="aa"/>
    <w:uiPriority w:val="99"/>
    <w:rsid w:val="00533E9F"/>
    <w:pPr>
      <w:ind w:firstLine="284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33E9F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533E9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533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2275D7"/>
    <w:rPr>
      <w:rFonts w:ascii="Segoe UI" w:hAnsi="Segoe UI" w:cs="Segoe UI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33E9F"/>
    <w:rPr>
      <w:rFonts w:ascii="Courier New" w:hAnsi="Courier New" w:cs="Courier New"/>
      <w:sz w:val="20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6E61D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275D7"/>
    <w:rPr>
      <w:rFonts w:ascii="Segoe UI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3E4B07"/>
    <w:rPr>
      <w:rFonts w:cs="Times New Roman"/>
    </w:rPr>
  </w:style>
  <w:style w:type="character" w:styleId="ae">
    <w:name w:val="Hyperlink"/>
    <w:basedOn w:val="a0"/>
    <w:uiPriority w:val="99"/>
    <w:rsid w:val="003E4B07"/>
    <w:rPr>
      <w:rFonts w:cs="Times New Roman"/>
      <w:color w:val="0000FF"/>
      <w:u w:val="single"/>
    </w:rPr>
  </w:style>
  <w:style w:type="paragraph" w:styleId="af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2"/>
    <w:uiPriority w:val="99"/>
    <w:rsid w:val="001B5D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Batang"/>
    </w:rPr>
  </w:style>
  <w:style w:type="character" w:customStyle="1" w:styleId="12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f"/>
    <w:uiPriority w:val="99"/>
    <w:locked/>
    <w:rsid w:val="001B5DE5"/>
    <w:rPr>
      <w:rFonts w:ascii="Times New Roman" w:eastAsia="Batang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E423D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rFonts w:eastAsia="Batang"/>
      <w:lang w:val="uk-UA"/>
    </w:rPr>
  </w:style>
  <w:style w:type="character" w:customStyle="1" w:styleId="rvts0">
    <w:name w:val="rvts0"/>
    <w:basedOn w:val="a0"/>
    <w:rsid w:val="00934043"/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locked/>
    <w:rsid w:val="00E423D4"/>
    <w:rPr>
      <w:rFonts w:ascii="Times New Roman" w:eastAsia="Batang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"/>
    <w:link w:val="af1"/>
    <w:uiPriority w:val="99"/>
    <w:rsid w:val="007467DE"/>
    <w:pPr>
      <w:spacing w:after="120"/>
      <w:ind w:left="283"/>
    </w:pPr>
  </w:style>
  <w:style w:type="character" w:customStyle="1" w:styleId="rvts15">
    <w:name w:val="rvts15"/>
    <w:basedOn w:val="a0"/>
    <w:uiPriority w:val="99"/>
    <w:rsid w:val="00595392"/>
    <w:rPr>
      <w:rFonts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7467D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2">
    <w:name w:val="Нормальний текст"/>
    <w:basedOn w:val="a"/>
    <w:uiPriority w:val="99"/>
    <w:rsid w:val="00F36EA6"/>
    <w:pPr>
      <w:spacing w:before="120"/>
    </w:pPr>
    <w:rPr>
      <w:rFonts w:ascii="Antiqua" w:hAnsi="Antiqua"/>
      <w:sz w:val="26"/>
      <w:szCs w:val="20"/>
      <w:lang w:val="uk-UA"/>
    </w:rPr>
  </w:style>
  <w:style w:type="character" w:styleId="af3">
    <w:name w:val="annotation reference"/>
    <w:basedOn w:val="a0"/>
    <w:uiPriority w:val="99"/>
    <w:semiHidden/>
    <w:unhideWhenUsed/>
    <w:rsid w:val="00C80F50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80F5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80F50"/>
    <w:rPr>
      <w:b/>
      <w:bCs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C80F50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C80F50"/>
    <w:rPr>
      <w:rFonts w:ascii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e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2632</Words>
  <Characters>15004</Characters>
  <Application>Microsoft Office Word</Application>
  <DocSecurity>0</DocSecurity>
  <Lines>125</Lines>
  <Paragraphs>35</Paragraphs>
  <ScaleCrop>false</ScaleCrop>
  <Company/>
  <LinksUpToDate>false</LinksUpToDate>
  <CharactersWithSpaces>17601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Людмила Власенко</dc:creator>
  <cp:keywords/>
  <dc:description/>
  <cp:lastModifiedBy>Иван</cp:lastModifiedBy>
  <cp:revision>2</cp:revision>
  <cp:lastPrinted>2021-03-04T14:33:00Z</cp:lastPrinted>
  <dcterms:created xsi:type="dcterms:W3CDTF">2022-04-14T10:15:00Z</dcterms:created>
  <dcterms:modified xsi:type="dcterms:W3CDTF">2022-04-14T10:15:00Z</dcterms:modified>
</cp:coreProperties>
</file>