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49" w:type="dxa"/>
        <w:tblInd w:w="-360" w:type="dxa"/>
        <w:tblLook w:val="04A0" w:firstRow="1" w:lastRow="0" w:firstColumn="1" w:lastColumn="0" w:noHBand="0" w:noVBand="1"/>
      </w:tblPr>
      <w:tblGrid>
        <w:gridCol w:w="10249"/>
      </w:tblGrid>
      <w:tr w:rsidR="00555E80" w:rsidRPr="00294262" w:rsidTr="00B55FF1">
        <w:trPr>
          <w:trHeight w:val="1479"/>
        </w:trPr>
        <w:tc>
          <w:tcPr>
            <w:tcW w:w="10249" w:type="dxa"/>
            <w:shd w:val="clear" w:color="auto" w:fill="auto"/>
          </w:tcPr>
          <w:p w:rsidR="00555E80" w:rsidRPr="00294262" w:rsidRDefault="00555E80" w:rsidP="00B55F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42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ВИСНОВОК</w:t>
            </w:r>
            <w:r w:rsidRPr="002942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 xml:space="preserve">про проведення </w:t>
            </w:r>
            <w:proofErr w:type="spellStart"/>
            <w:r w:rsidRPr="002942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гендерно</w:t>
            </w:r>
            <w:proofErr w:type="spellEnd"/>
            <w:r w:rsidRPr="002942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-правової експертизи </w:t>
            </w:r>
            <w:proofErr w:type="spellStart"/>
            <w:r w:rsidRPr="002942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проєкту</w:t>
            </w:r>
            <w:proofErr w:type="spellEnd"/>
            <w:r w:rsidRPr="002942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наказу Міністе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рства енергетики та захисту довкілля  України «</w:t>
            </w:r>
            <w:r w:rsidR="005E17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 затвердження уніфікованої форми </w:t>
            </w:r>
            <w:proofErr w:type="spellStart"/>
            <w:r w:rsidR="005E17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Акта</w:t>
            </w:r>
            <w:proofErr w:type="spellEnd"/>
            <w:r w:rsidR="005E17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складеного за результа</w:t>
            </w:r>
            <w:r w:rsidR="00BF78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тами проведення планового (позап</w:t>
            </w:r>
            <w:r w:rsidR="005E17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ланового) заходу</w:t>
            </w:r>
            <w:r w:rsidR="00BF78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державного нагляду (контролю) щодо дотримання суб’єктом господарювання вимог законодавства у сферах електроенергетики та теплопостачання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555E80" w:rsidRPr="00294262" w:rsidTr="00B55FF1">
        <w:tc>
          <w:tcPr>
            <w:tcW w:w="10249" w:type="dxa"/>
            <w:shd w:val="clear" w:color="auto" w:fill="auto"/>
          </w:tcPr>
          <w:p w:rsidR="00555E80" w:rsidRPr="00294262" w:rsidRDefault="00555E80" w:rsidP="00B55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Проє</w:t>
            </w:r>
            <w:r w:rsidRPr="0029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</w:t>
            </w:r>
            <w:proofErr w:type="spellEnd"/>
            <w:r w:rsidRPr="0029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нормативно-правового </w:t>
            </w:r>
            <w:proofErr w:type="spellStart"/>
            <w:r w:rsidRPr="0029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акта</w:t>
            </w:r>
            <w:proofErr w:type="spellEnd"/>
            <w:r w:rsidRPr="0029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розроблено </w:t>
            </w:r>
          </w:p>
          <w:p w:rsidR="00555E80" w:rsidRPr="00294262" w:rsidRDefault="00555E80" w:rsidP="00B55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Державною інспекцією енергетичного нагляду</w:t>
            </w:r>
            <w:r w:rsidRPr="0029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України</w:t>
            </w:r>
          </w:p>
          <w:p w:rsidR="00555E80" w:rsidRPr="00294262" w:rsidRDefault="00555E80" w:rsidP="00B55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</w:tr>
      <w:tr w:rsidR="00555E80" w:rsidRPr="00294262" w:rsidTr="00B55FF1">
        <w:tc>
          <w:tcPr>
            <w:tcW w:w="10249" w:type="dxa"/>
            <w:shd w:val="clear" w:color="auto" w:fill="auto"/>
          </w:tcPr>
          <w:p w:rsidR="00555E80" w:rsidRPr="00294262" w:rsidRDefault="00555E80" w:rsidP="00B55FF1">
            <w:pPr>
              <w:numPr>
                <w:ilvl w:val="0"/>
                <w:numId w:val="1"/>
              </w:numPr>
              <w:tabs>
                <w:tab w:val="left" w:pos="567"/>
                <w:tab w:val="left" w:pos="1069"/>
              </w:tabs>
              <w:spacing w:before="120" w:after="0" w:line="240" w:lineRule="auto"/>
              <w:ind w:firstLine="64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42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Перелік міжнародних договорів України, згода на обов’язковість яких надана Верховною Радою України, та резолюцій міжнародних конференцій, міжнародних організацій, їх органів, використаних під час проведення експертизи.</w:t>
            </w:r>
          </w:p>
        </w:tc>
      </w:tr>
      <w:tr w:rsidR="00555E80" w:rsidRPr="00294262" w:rsidTr="00B55FF1">
        <w:tc>
          <w:tcPr>
            <w:tcW w:w="10249" w:type="dxa"/>
            <w:shd w:val="clear" w:color="auto" w:fill="auto"/>
          </w:tcPr>
          <w:p w:rsidR="00555E80" w:rsidRPr="00294262" w:rsidRDefault="00555E80" w:rsidP="00B55FF1">
            <w:pPr>
              <w:spacing w:before="120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Під час проведення </w:t>
            </w:r>
            <w:proofErr w:type="spellStart"/>
            <w:r w:rsidRPr="0029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ендерно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-правової експертизи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проє</w:t>
            </w:r>
            <w:r w:rsidRPr="0029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кту</w:t>
            </w:r>
            <w:proofErr w:type="spellEnd"/>
            <w:r w:rsidRPr="0029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9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акта</w:t>
            </w:r>
            <w:proofErr w:type="spellEnd"/>
            <w:r w:rsidRPr="0029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застосовувалися: Міжнародний пакт про громадянські і політичні права,  1966 рік; Конвенція про боротьбу з торгівлею людьми і з експлуатацією проституції третіми особами, 1949 рік; Конвенція про ліквідацію всіх форм дискримінації щодо жінок, 1979 рік; Конвенція про захист прав людини і основоположних свобод, 1950 рік та протоколи до неї; Європейська соціальна хартія (переглянута), 1996 рік; Конвенція Ради Європи про заходи щодо протидії торгівлі людьми, 2005 рік; Конвенція про права осіб з інвалідністю, 2006 рік; Конвенція Міжнародної організації праці     </w:t>
            </w:r>
            <w:r w:rsidR="00590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  <w:r w:rsidRPr="0029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№ 156 про рівне ставлення і рівні можливості для трудящих чоловіків і жінок: трудящі із сімейними обов’язками, 1981 рік; Конвенція Міжнародної організації праці № 100 про рівне винагородження чоловіків і жінок за працю рівної цінності, 1951 рік; Міжнародна конвенція про ліквідацію всіх форм расової дискримінації, 1965 рік; Міжнародний пакт про економічні, соціальні і культурні права, 1966 рік; Рамкова конвенція про захист національних меншин, 1995 рік; Загальна декларація прав людини, 1948 рік; Пекінська декларація, 1995 рік; Резолюція 47</w:t>
            </w:r>
            <w:r w:rsidRPr="00294262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/</w:t>
            </w:r>
            <w:r w:rsidRPr="0029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135 Генеральної Асамблеї ООН “Декларація про права осіб, що належать до національних або етнічних, релігійних та </w:t>
            </w:r>
            <w:proofErr w:type="spellStart"/>
            <w:r w:rsidRPr="0029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мовних</w:t>
            </w:r>
            <w:proofErr w:type="spellEnd"/>
            <w:r w:rsidRPr="0029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меншин”, 1992 рік.</w:t>
            </w:r>
          </w:p>
          <w:p w:rsidR="00555E80" w:rsidRPr="00294262" w:rsidRDefault="00555E80" w:rsidP="00B55FF1">
            <w:pPr>
              <w:spacing w:before="120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5E80" w:rsidRPr="00294262" w:rsidTr="00B55FF1">
        <w:tc>
          <w:tcPr>
            <w:tcW w:w="10249" w:type="dxa"/>
            <w:shd w:val="clear" w:color="auto" w:fill="auto"/>
          </w:tcPr>
          <w:p w:rsidR="00555E80" w:rsidRPr="00BF1859" w:rsidRDefault="00555E80" w:rsidP="00B55FF1">
            <w:pPr>
              <w:numPr>
                <w:ilvl w:val="0"/>
                <w:numId w:val="1"/>
              </w:numPr>
              <w:tabs>
                <w:tab w:val="left" w:pos="1069"/>
              </w:tabs>
              <w:spacing w:before="120" w:after="0" w:line="240" w:lineRule="auto"/>
              <w:ind w:hanging="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2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Перелік актів законодавства, використаних під час експертизи.</w:t>
            </w:r>
          </w:p>
          <w:p w:rsidR="00555E80" w:rsidRPr="00294262" w:rsidRDefault="00555E80" w:rsidP="00B55FF1">
            <w:pPr>
              <w:tabs>
                <w:tab w:val="left" w:pos="1069"/>
              </w:tabs>
              <w:spacing w:before="120"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5E80" w:rsidRPr="00294262" w:rsidTr="00B55FF1">
        <w:tc>
          <w:tcPr>
            <w:tcW w:w="10249" w:type="dxa"/>
            <w:shd w:val="clear" w:color="auto" w:fill="auto"/>
          </w:tcPr>
          <w:p w:rsidR="00555E80" w:rsidRPr="00294262" w:rsidRDefault="00555E80" w:rsidP="00B55FF1">
            <w:pPr>
              <w:tabs>
                <w:tab w:val="left" w:pos="0"/>
              </w:tabs>
              <w:spacing w:after="0" w:line="240" w:lineRule="auto"/>
              <w:ind w:firstLine="6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262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Під</w:t>
            </w:r>
            <w:r w:rsidRPr="0029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4262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час</w:t>
            </w:r>
            <w:r w:rsidRPr="0029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4262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проведення</w:t>
            </w:r>
            <w:r w:rsidRPr="0029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94262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гендерно</w:t>
            </w:r>
            <w:proofErr w:type="spellEnd"/>
            <w:r w:rsidRPr="0029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94262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правової</w:t>
            </w:r>
            <w:r w:rsidRPr="0029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4262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експертизи</w:t>
            </w:r>
            <w:r w:rsidRPr="0029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про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</w:t>
            </w:r>
            <w:r w:rsidRPr="00294262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кту</w:t>
            </w:r>
            <w:proofErr w:type="spellEnd"/>
            <w:r w:rsidRPr="0029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94262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акта</w:t>
            </w:r>
            <w:proofErr w:type="spellEnd"/>
            <w:r w:rsidRPr="0029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294262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застосовувалися</w:t>
            </w:r>
            <w:r w:rsidRPr="0029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Pr="00294262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Конституція</w:t>
            </w:r>
            <w:r w:rsidRPr="0029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4262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України</w:t>
            </w:r>
            <w:r w:rsidRPr="0029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294262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Закони</w:t>
            </w:r>
            <w:r w:rsidRPr="0029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4262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України</w:t>
            </w:r>
            <w:r w:rsidRPr="0029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“</w:t>
            </w:r>
            <w:r w:rsidRPr="00294262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Про</w:t>
            </w:r>
            <w:r w:rsidRPr="0029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4262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забезпечення</w:t>
            </w:r>
            <w:r w:rsidRPr="0029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4262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рівних</w:t>
            </w:r>
            <w:r w:rsidRPr="0029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4262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прав</w:t>
            </w:r>
            <w:r w:rsidRPr="0029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4262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та</w:t>
            </w:r>
            <w:r w:rsidRPr="0029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4262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можливостей</w:t>
            </w:r>
            <w:r w:rsidRPr="0029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4262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жінок</w:t>
            </w:r>
            <w:r w:rsidRPr="0029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4262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і</w:t>
            </w:r>
            <w:r w:rsidRPr="0029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4262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чоловіків”</w:t>
            </w:r>
            <w:r w:rsidRPr="0029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“</w:t>
            </w:r>
            <w:r w:rsidRPr="00294262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Про</w:t>
            </w:r>
            <w:r w:rsidRPr="0029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4262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засади</w:t>
            </w:r>
            <w:r w:rsidRPr="0029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4262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запобігання</w:t>
            </w:r>
            <w:r w:rsidRPr="0029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4262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та</w:t>
            </w:r>
            <w:r w:rsidRPr="0029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4262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протидії</w:t>
            </w:r>
            <w:r w:rsidRPr="0029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4262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дискримінації</w:t>
            </w:r>
            <w:r w:rsidRPr="0029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4262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в</w:t>
            </w:r>
            <w:r w:rsidRPr="0029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4262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Україні”</w:t>
            </w:r>
            <w:r w:rsidRPr="0029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“</w:t>
            </w:r>
            <w:r w:rsidRPr="00294262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Про</w:t>
            </w:r>
            <w:r w:rsidRPr="0029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4262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запобігання</w:t>
            </w:r>
            <w:r w:rsidRPr="0029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4262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та</w:t>
            </w:r>
            <w:r w:rsidRPr="0029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4262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протидію</w:t>
            </w:r>
            <w:r w:rsidRPr="0029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4262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домашньому</w:t>
            </w:r>
            <w:r w:rsidRPr="0029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4262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насильству”</w:t>
            </w:r>
            <w:r w:rsidRPr="0029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“</w:t>
            </w:r>
            <w:r w:rsidRPr="00294262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Про</w:t>
            </w:r>
            <w:r w:rsidRPr="0029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4262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протидію</w:t>
            </w:r>
            <w:r w:rsidRPr="0029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4262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торгівлі</w:t>
            </w:r>
            <w:r w:rsidRPr="0029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4262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людьми”</w:t>
            </w:r>
            <w:r w:rsidRPr="0029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55E80" w:rsidRDefault="00555E80" w:rsidP="00B55FF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5E80" w:rsidRDefault="00555E80" w:rsidP="00B55FF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5E80" w:rsidRDefault="00555E80" w:rsidP="00B55FF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5E80" w:rsidRPr="00294262" w:rsidRDefault="00555E80" w:rsidP="00B55FF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5E80" w:rsidRPr="00294262" w:rsidTr="00B55FF1">
        <w:tc>
          <w:tcPr>
            <w:tcW w:w="10249" w:type="dxa"/>
            <w:shd w:val="clear" w:color="auto" w:fill="auto"/>
          </w:tcPr>
          <w:p w:rsidR="00555E80" w:rsidRPr="00294262" w:rsidRDefault="00555E80" w:rsidP="00280B7C">
            <w:pPr>
              <w:numPr>
                <w:ilvl w:val="0"/>
                <w:numId w:val="1"/>
              </w:numPr>
              <w:tabs>
                <w:tab w:val="left" w:pos="1069"/>
              </w:tabs>
              <w:spacing w:before="120" w:after="0" w:line="240" w:lineRule="auto"/>
              <w:ind w:left="0" w:firstLine="53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42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Наявність або відсутність положень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проєкту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нормативно-правового </w:t>
            </w:r>
            <w:proofErr w:type="spellStart"/>
            <w:r w:rsidR="00280B7C" w:rsidRPr="002942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акта</w:t>
            </w:r>
            <w:proofErr w:type="spellEnd"/>
            <w:r w:rsidRPr="002942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які не відповідають принципу забезпечення рівних прав та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можливостей жінок і чоловіків.</w:t>
            </w:r>
          </w:p>
        </w:tc>
      </w:tr>
      <w:tr w:rsidR="00555E80" w:rsidRPr="00294262" w:rsidTr="00B55FF1">
        <w:tc>
          <w:tcPr>
            <w:tcW w:w="10249" w:type="dxa"/>
            <w:shd w:val="clear" w:color="auto" w:fill="auto"/>
          </w:tcPr>
          <w:p w:rsidR="00555E80" w:rsidRPr="00294262" w:rsidRDefault="00555E80" w:rsidP="00B55FF1">
            <w:pPr>
              <w:spacing w:before="120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проєкті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наказу  Мініс</w:t>
            </w:r>
            <w:r w:rsidR="00280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терства енергетики та захисту довкілля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F7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України </w:t>
            </w:r>
            <w:r w:rsidR="00BF781B" w:rsidRPr="00BF7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BF781B" w:rsidRPr="00BF7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 затвердження уніфікованої форми </w:t>
            </w:r>
            <w:proofErr w:type="spellStart"/>
            <w:r w:rsidR="00BF781B" w:rsidRPr="00BF7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Акта</w:t>
            </w:r>
            <w:proofErr w:type="spellEnd"/>
            <w:r w:rsidR="00BF781B" w:rsidRPr="00BF7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складеного за результатами проведення планового (позапланового) заходу державного нагляду (контролю) щодо дотримання суб’єктом господарювання вимог законодавства у сферах електроенергетики та теплопостачання</w:t>
            </w:r>
            <w:r w:rsidR="00BF781B" w:rsidRPr="00BF7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BF7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відсутні положення, які не відповідають принципу забезпечення рівних прав та можливостей жінок і чоловіків.</w:t>
            </w:r>
          </w:p>
        </w:tc>
      </w:tr>
      <w:tr w:rsidR="00555E80" w:rsidRPr="00294262" w:rsidTr="00B55FF1">
        <w:tc>
          <w:tcPr>
            <w:tcW w:w="10249" w:type="dxa"/>
            <w:shd w:val="clear" w:color="auto" w:fill="auto"/>
          </w:tcPr>
          <w:p w:rsidR="00555E80" w:rsidRPr="00294262" w:rsidRDefault="00555E80" w:rsidP="00B55FF1">
            <w:pPr>
              <w:tabs>
                <w:tab w:val="left" w:pos="709"/>
              </w:tabs>
              <w:spacing w:before="120" w:after="0" w:line="240" w:lineRule="auto"/>
              <w:ind w:firstLine="64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42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Проведення аналізу положень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проє</w:t>
            </w:r>
            <w:r w:rsidRPr="002942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кту</w:t>
            </w:r>
            <w:proofErr w:type="spellEnd"/>
            <w:r w:rsidRPr="002942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нормативно-правового  </w:t>
            </w:r>
            <w:proofErr w:type="spellStart"/>
            <w:r w:rsidRPr="002942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акта</w:t>
            </w:r>
            <w:proofErr w:type="spellEnd"/>
            <w:r w:rsidRPr="002942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які можуть порушувати принцип забезпечення рівних прав та можливостей жінок і чоловіків.</w:t>
            </w:r>
          </w:p>
        </w:tc>
      </w:tr>
      <w:tr w:rsidR="00555E80" w:rsidRPr="00294262" w:rsidTr="00B55FF1">
        <w:tc>
          <w:tcPr>
            <w:tcW w:w="10249" w:type="dxa"/>
            <w:shd w:val="clear" w:color="auto" w:fill="auto"/>
          </w:tcPr>
          <w:p w:rsidR="00555E80" w:rsidRPr="00294262" w:rsidRDefault="00555E80" w:rsidP="00B55FF1">
            <w:pPr>
              <w:spacing w:before="120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проє</w:t>
            </w:r>
            <w:r w:rsidRPr="0029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кті</w:t>
            </w:r>
            <w:proofErr w:type="spellEnd"/>
            <w:r w:rsidRPr="0029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наказу </w:t>
            </w:r>
            <w:r w:rsidR="00280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Міністерства </w:t>
            </w:r>
            <w:r w:rsidR="005C1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енергетики та захисту довкілля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України </w:t>
            </w:r>
            <w:r w:rsidR="00BF781B" w:rsidRPr="00BF7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«Про затвердження уніфікованої форми </w:t>
            </w:r>
            <w:proofErr w:type="spellStart"/>
            <w:r w:rsidR="00BF781B" w:rsidRPr="00BF7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Акта</w:t>
            </w:r>
            <w:proofErr w:type="spellEnd"/>
            <w:r w:rsidR="00BF781B" w:rsidRPr="00BF7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складеного за результатами проведення планового (позапланового) заходу державного нагляду (контролю) щодо дотримання суб’єктом господарювання вимог законодавства у сферах електроенергетики та теплопостачання</w:t>
            </w:r>
            <w:r w:rsidRPr="002D61B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D6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відсутні положення, які не відповідають принципу забезпечення рівних прав та можливостей жінок і чоловіків.</w:t>
            </w:r>
          </w:p>
          <w:p w:rsidR="00555E80" w:rsidRPr="00294262" w:rsidRDefault="00555E80" w:rsidP="00B55FF1">
            <w:pPr>
              <w:spacing w:before="120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55E80" w:rsidRDefault="00555E80" w:rsidP="00555E80">
      <w:pPr>
        <w:tabs>
          <w:tab w:val="left" w:pos="-36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Начальник відділу методичного забезпечення</w:t>
      </w:r>
    </w:p>
    <w:p w:rsidR="00555E80" w:rsidRDefault="00555E80" w:rsidP="00555E80">
      <w:pPr>
        <w:tabs>
          <w:tab w:val="left" w:pos="-36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взаємодії з територіальними органами</w:t>
      </w:r>
    </w:p>
    <w:p w:rsidR="00555E80" w:rsidRDefault="00555E80" w:rsidP="00555E80">
      <w:pPr>
        <w:tabs>
          <w:tab w:val="left" w:pos="-36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Управління нормативно-правового </w:t>
      </w:r>
    </w:p>
    <w:p w:rsidR="00555E80" w:rsidRDefault="00555E80" w:rsidP="00555E80">
      <w:pPr>
        <w:tabs>
          <w:tab w:val="left" w:pos="-36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забезпечення Держаної інспекції енергетичного</w:t>
      </w:r>
    </w:p>
    <w:p w:rsidR="00555E80" w:rsidRPr="00294262" w:rsidRDefault="00555E80" w:rsidP="00555E80">
      <w:pPr>
        <w:tabs>
          <w:tab w:val="left" w:pos="-36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нагляду України</w:t>
      </w:r>
      <w:r w:rsidRPr="00294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Крістіна</w:t>
      </w:r>
      <w:r w:rsidR="00C362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БАЄР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55E80" w:rsidRPr="00294262" w:rsidRDefault="00555E80" w:rsidP="00555E80">
      <w:pPr>
        <w:tabs>
          <w:tab w:val="left" w:pos="-36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«___»___________2019</w:t>
      </w:r>
      <w:r w:rsidRPr="00294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</w:t>
      </w:r>
    </w:p>
    <w:p w:rsidR="00555E80" w:rsidRPr="00294262" w:rsidRDefault="00555E80" w:rsidP="00555E8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E80" w:rsidRPr="00294262" w:rsidRDefault="00555E80" w:rsidP="00555E8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8E0" w:rsidRDefault="005C18E0" w:rsidP="00555E80">
      <w:pPr>
        <w:tabs>
          <w:tab w:val="left" w:pos="-36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Перший заступник Голови</w:t>
      </w:r>
      <w:r w:rsidR="00555E80" w:rsidRPr="00294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55E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Державного</w:t>
      </w:r>
    </w:p>
    <w:p w:rsidR="00555E80" w:rsidRPr="00294262" w:rsidRDefault="00555E80" w:rsidP="005C18E0">
      <w:pPr>
        <w:tabs>
          <w:tab w:val="left" w:pos="-36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інспекції</w:t>
      </w:r>
      <w:r w:rsidRPr="00294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енергетичного нагляду України</w:t>
      </w:r>
      <w:r w:rsidRPr="00294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5C18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294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5E17E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1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E17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Денис П</w:t>
      </w:r>
      <w:r w:rsidR="00C362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ЕТРОВ</w:t>
      </w:r>
    </w:p>
    <w:p w:rsidR="00555E80" w:rsidRPr="00294262" w:rsidRDefault="00555E80" w:rsidP="00555E80">
      <w:pPr>
        <w:tabs>
          <w:tab w:val="left" w:pos="-36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«___»___________2019</w:t>
      </w:r>
      <w:r w:rsidR="005E1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</w:t>
      </w:r>
    </w:p>
    <w:p w:rsidR="00555E80" w:rsidRPr="00294262" w:rsidRDefault="00555E80" w:rsidP="00555E80">
      <w:pPr>
        <w:spacing w:after="0" w:line="240" w:lineRule="auto"/>
        <w:rPr>
          <w:rFonts w:ascii="Antiqua" w:eastAsia="Times New Roman" w:hAnsi="Antiqua" w:cs="Times New Roman"/>
          <w:sz w:val="26"/>
          <w:szCs w:val="20"/>
          <w:lang w:eastAsia="ru-RU"/>
        </w:rPr>
      </w:pPr>
    </w:p>
    <w:p w:rsidR="00555E80" w:rsidRDefault="00555E80" w:rsidP="00555E80">
      <w:bookmarkStart w:id="0" w:name="_GoBack"/>
      <w:bookmarkEnd w:id="0"/>
    </w:p>
    <w:p w:rsidR="00E049A1" w:rsidRDefault="00E049A1"/>
    <w:sectPr w:rsidR="00E049A1" w:rsidSect="00294262">
      <w:headerReference w:type="even" r:id="rId5"/>
      <w:headerReference w:type="default" r:id="rId6"/>
      <w:headerReference w:type="first" r:id="rId7"/>
      <w:footerReference w:type="first" r:id="rId8"/>
      <w:pgSz w:w="11906" w:h="16838" w:code="9"/>
      <w:pgMar w:top="1134" w:right="566" w:bottom="1134" w:left="1701" w:header="567" w:footer="567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Times New Roman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75" w:rsidRDefault="00A007E7">
    <w:pPr>
      <w:pStyle w:val="a3"/>
    </w:pPr>
  </w:p>
  <w:p w:rsidR="00363CC6" w:rsidRDefault="00A007E7">
    <w:pPr>
      <w:pStyle w:val="a3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723" w:rsidRDefault="00A007E7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B77723" w:rsidRDefault="00A007E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723" w:rsidRPr="00AB513D" w:rsidRDefault="00A007E7">
    <w:pPr>
      <w:framePr w:wrap="around" w:vAnchor="text" w:hAnchor="margin" w:xAlign="center" w:y="1"/>
      <w:rPr>
        <w:rFonts w:ascii="Times New Roman" w:hAnsi="Times New Roman"/>
        <w:sz w:val="28"/>
        <w:szCs w:val="28"/>
      </w:rPr>
    </w:pPr>
    <w:r w:rsidRPr="00AB513D">
      <w:rPr>
        <w:rFonts w:ascii="Times New Roman" w:hAnsi="Times New Roman"/>
        <w:sz w:val="28"/>
        <w:szCs w:val="28"/>
      </w:rPr>
      <w:fldChar w:fldCharType="begin"/>
    </w:r>
    <w:r w:rsidRPr="00AB513D">
      <w:rPr>
        <w:rFonts w:ascii="Times New Roman" w:hAnsi="Times New Roman"/>
        <w:sz w:val="28"/>
        <w:szCs w:val="28"/>
      </w:rPr>
      <w:instrText xml:space="preserve">PAGE  </w:instrText>
    </w:r>
    <w:r w:rsidRPr="00AB513D">
      <w:rPr>
        <w:rFonts w:ascii="Times New Roman" w:hAnsi="Times New Roman"/>
        <w:sz w:val="28"/>
        <w:szCs w:val="28"/>
      </w:rPr>
      <w:fldChar w:fldCharType="separate"/>
    </w:r>
    <w:r w:rsidR="00C362A3">
      <w:rPr>
        <w:rFonts w:ascii="Times New Roman" w:hAnsi="Times New Roman"/>
        <w:noProof/>
        <w:sz w:val="28"/>
        <w:szCs w:val="28"/>
      </w:rPr>
      <w:t>2</w:t>
    </w:r>
    <w:r w:rsidRPr="00AB513D">
      <w:rPr>
        <w:rFonts w:ascii="Times New Roman" w:hAnsi="Times New Roman"/>
        <w:sz w:val="28"/>
        <w:szCs w:val="28"/>
      </w:rPr>
      <w:fldChar w:fldCharType="end"/>
    </w:r>
  </w:p>
  <w:p w:rsidR="00B77723" w:rsidRDefault="00A007E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75" w:rsidRDefault="00A007E7">
    <w:pPr>
      <w:pStyle w:val="a5"/>
    </w:pPr>
  </w:p>
  <w:p w:rsidR="00F37475" w:rsidRDefault="00A007E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3021B"/>
    <w:multiLevelType w:val="hybridMultilevel"/>
    <w:tmpl w:val="EC60A0CA"/>
    <w:lvl w:ilvl="0" w:tplc="DCDEC3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E80"/>
    <w:rsid w:val="00280B7C"/>
    <w:rsid w:val="00555E80"/>
    <w:rsid w:val="00590743"/>
    <w:rsid w:val="005C18E0"/>
    <w:rsid w:val="005E17E6"/>
    <w:rsid w:val="00A007E7"/>
    <w:rsid w:val="00BF781B"/>
    <w:rsid w:val="00C362A3"/>
    <w:rsid w:val="00E0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0D92D"/>
  <w15:chartTrackingRefBased/>
  <w15:docId w15:val="{747665F3-0F9F-4A3A-8AA4-70E48355C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E8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555E8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Нижній колонтитул Знак"/>
    <w:basedOn w:val="a0"/>
    <w:link w:val="a3"/>
    <w:uiPriority w:val="99"/>
    <w:semiHidden/>
    <w:rsid w:val="00555E80"/>
  </w:style>
  <w:style w:type="paragraph" w:styleId="a5">
    <w:name w:val="header"/>
    <w:basedOn w:val="a"/>
    <w:link w:val="a6"/>
    <w:uiPriority w:val="99"/>
    <w:semiHidden/>
    <w:unhideWhenUsed/>
    <w:rsid w:val="00555E8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semiHidden/>
    <w:rsid w:val="00555E80"/>
  </w:style>
  <w:style w:type="paragraph" w:styleId="a7">
    <w:name w:val="Balloon Text"/>
    <w:basedOn w:val="a"/>
    <w:link w:val="a8"/>
    <w:uiPriority w:val="99"/>
    <w:semiHidden/>
    <w:unhideWhenUsed/>
    <w:rsid w:val="00BF7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BF78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2569</Words>
  <Characters>1465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Державна інспекція енергетичного нагляду України</Company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Баєр Крістіна Іванівна</dc:creator>
  <cp:keywords/>
  <dc:description/>
  <cp:lastModifiedBy>Баєр Крістіна Іванівна</cp:lastModifiedBy>
  <cp:revision>2</cp:revision>
  <cp:lastPrinted>2019-10-09T13:41:00Z</cp:lastPrinted>
  <dcterms:created xsi:type="dcterms:W3CDTF">2019-10-09T12:39:00Z</dcterms:created>
  <dcterms:modified xsi:type="dcterms:W3CDTF">2019-10-09T13:43:00Z</dcterms:modified>
</cp:coreProperties>
</file>