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2F3" w:rsidRPr="00F41064" w:rsidRDefault="00A662F3" w:rsidP="00A662F3">
      <w:pPr>
        <w:autoSpaceDE w:val="0"/>
        <w:autoSpaceDN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41064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ПОЯСНЮВАЛЬНА ЗАПИСКА</w:t>
      </w:r>
    </w:p>
    <w:p w:rsidR="00A662F3" w:rsidRPr="00F41064" w:rsidRDefault="00F41064" w:rsidP="008D4FC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106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 </w:t>
      </w:r>
      <w:proofErr w:type="spellStart"/>
      <w:r w:rsidRPr="00F41064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</w:t>
      </w:r>
      <w:r w:rsidR="00A662F3" w:rsidRPr="00F41064">
        <w:rPr>
          <w:rFonts w:ascii="Times New Roman" w:hAnsi="Times New Roman" w:cs="Times New Roman"/>
          <w:b/>
          <w:bCs/>
          <w:sz w:val="28"/>
          <w:szCs w:val="28"/>
          <w:lang w:val="uk-UA"/>
        </w:rPr>
        <w:t>кту</w:t>
      </w:r>
      <w:proofErr w:type="spellEnd"/>
      <w:r w:rsidR="00A662F3" w:rsidRPr="00F4106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Закону України </w:t>
      </w:r>
      <w:r w:rsidR="00A662F3" w:rsidRPr="00F41064">
        <w:rPr>
          <w:rFonts w:ascii="Times New Roman" w:hAnsi="Times New Roman" w:cs="Times New Roman"/>
          <w:b/>
          <w:sz w:val="28"/>
          <w:szCs w:val="28"/>
          <w:lang w:val="uk-UA"/>
        </w:rPr>
        <w:t>«Про внесення змін до Кодексу України про адміністративні правопорушення  щодо врегулювання</w:t>
      </w:r>
      <w:r w:rsidR="00482AD1" w:rsidRPr="00F410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62F3" w:rsidRPr="00F410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питань державного енергетичного нагляду (контролю)»</w:t>
      </w:r>
    </w:p>
    <w:p w:rsidR="00EA25FC" w:rsidRPr="00F41064" w:rsidRDefault="003256F0" w:rsidP="00AF2555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1064">
        <w:rPr>
          <w:rFonts w:ascii="Times New Roman" w:eastAsia="Times New Roman" w:hAnsi="Times New Roman"/>
          <w:b/>
          <w:color w:val="000000"/>
          <w:sz w:val="28"/>
          <w:szCs w:val="28"/>
        </w:rPr>
        <w:t>Мета</w:t>
      </w:r>
    </w:p>
    <w:p w:rsidR="003256F0" w:rsidRPr="00F41064" w:rsidRDefault="003256F0" w:rsidP="003256F0">
      <w:pPr>
        <w:ind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F41064">
        <w:rPr>
          <w:rFonts w:ascii="Times New Roman" w:hAnsi="Times New Roman"/>
          <w:spacing w:val="-4"/>
          <w:sz w:val="28"/>
          <w:szCs w:val="28"/>
          <w:lang w:val="uk-UA"/>
        </w:rPr>
        <w:t xml:space="preserve">Метою прийняття </w:t>
      </w:r>
      <w:proofErr w:type="spellStart"/>
      <w:r w:rsidRPr="00F41064">
        <w:rPr>
          <w:rFonts w:ascii="Times New Roman" w:hAnsi="Times New Roman"/>
          <w:spacing w:val="-4"/>
          <w:sz w:val="28"/>
          <w:szCs w:val="28"/>
          <w:lang w:val="uk-UA"/>
        </w:rPr>
        <w:t>проєкту</w:t>
      </w:r>
      <w:proofErr w:type="spellEnd"/>
      <w:r w:rsidRPr="00F41064">
        <w:rPr>
          <w:rFonts w:ascii="Times New Roman" w:hAnsi="Times New Roman"/>
          <w:spacing w:val="-4"/>
          <w:sz w:val="28"/>
          <w:szCs w:val="28"/>
          <w:lang w:val="uk-UA"/>
        </w:rPr>
        <w:t xml:space="preserve"> Закону України </w:t>
      </w:r>
      <w:r w:rsidRPr="00F41064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Кодексу України про адміністративні правопорушення  щодо врегулювання питань державного енергетичного нагляду (контролю)» (далі – </w:t>
      </w:r>
      <w:proofErr w:type="spellStart"/>
      <w:r w:rsidRPr="00F41064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F41064">
        <w:rPr>
          <w:rFonts w:ascii="Times New Roman" w:hAnsi="Times New Roman" w:cs="Times New Roman"/>
          <w:sz w:val="28"/>
          <w:szCs w:val="28"/>
          <w:lang w:val="uk-UA"/>
        </w:rPr>
        <w:t xml:space="preserve"> Закону) </w:t>
      </w:r>
      <w:r w:rsidRPr="00F41064">
        <w:rPr>
          <w:rFonts w:ascii="Times New Roman" w:hAnsi="Times New Roman"/>
          <w:spacing w:val="-4"/>
          <w:sz w:val="28"/>
          <w:szCs w:val="28"/>
          <w:lang w:val="uk-UA"/>
        </w:rPr>
        <w:t>є приведення  положень Кодексу України про адміністративні правопорушення у відповідність до вимог законів України «Про ринок електричної енергії» та «Про теплопостачання» для забезпечення надійного та сталого функціонування сфер елект</w:t>
      </w:r>
      <w:r w:rsidR="001D2254">
        <w:rPr>
          <w:rFonts w:ascii="Times New Roman" w:hAnsi="Times New Roman"/>
          <w:spacing w:val="-4"/>
          <w:sz w:val="28"/>
          <w:szCs w:val="28"/>
          <w:lang w:val="uk-UA"/>
        </w:rPr>
        <w:t xml:space="preserve">роенергетики та теплопостачання </w:t>
      </w:r>
      <w:r w:rsidRPr="00F41064">
        <w:rPr>
          <w:rFonts w:ascii="Times New Roman" w:hAnsi="Times New Roman"/>
          <w:spacing w:val="-4"/>
          <w:sz w:val="28"/>
          <w:szCs w:val="28"/>
          <w:lang w:val="uk-UA"/>
        </w:rPr>
        <w:t xml:space="preserve"> шляхом врегулювання питань, пов’язаних із здійсненням державного нагляду (контролю) за технічним станом та організацією експлуатації енергетичного обладнання і мереж у зазначених галузях.</w:t>
      </w:r>
    </w:p>
    <w:p w:rsidR="003256F0" w:rsidRPr="00F41064" w:rsidRDefault="003256F0" w:rsidP="003256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F4106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Обґрунтування необхідності прийняття </w:t>
      </w:r>
      <w:proofErr w:type="spellStart"/>
      <w:r w:rsidRPr="00F4106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акта</w:t>
      </w:r>
      <w:proofErr w:type="spellEnd"/>
    </w:p>
    <w:p w:rsidR="00EA25FC" w:rsidRPr="00F41064" w:rsidRDefault="002C450A" w:rsidP="00AF255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F41064">
        <w:rPr>
          <w:rFonts w:ascii="Times New Roman" w:hAnsi="Times New Roman"/>
          <w:spacing w:val="-4"/>
          <w:sz w:val="28"/>
          <w:szCs w:val="28"/>
        </w:rPr>
        <w:t xml:space="preserve">Набрання чинності </w:t>
      </w:r>
      <w:r w:rsidR="001D2ADE" w:rsidRPr="00F41064">
        <w:rPr>
          <w:rFonts w:ascii="Times New Roman" w:hAnsi="Times New Roman"/>
          <w:spacing w:val="-4"/>
          <w:sz w:val="28"/>
          <w:szCs w:val="28"/>
        </w:rPr>
        <w:t>Законом України</w:t>
      </w:r>
      <w:r w:rsidRPr="00F41064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F70AE" w:rsidRPr="00F41064">
        <w:rPr>
          <w:rFonts w:ascii="Times New Roman" w:hAnsi="Times New Roman"/>
          <w:spacing w:val="-4"/>
          <w:sz w:val="28"/>
          <w:szCs w:val="28"/>
        </w:rPr>
        <w:t>«П</w:t>
      </w:r>
      <w:r w:rsidRPr="00F41064">
        <w:rPr>
          <w:rFonts w:ascii="Times New Roman" w:hAnsi="Times New Roman"/>
          <w:spacing w:val="-4"/>
          <w:sz w:val="28"/>
          <w:szCs w:val="28"/>
        </w:rPr>
        <w:t>ро ринок електричної енергії</w:t>
      </w:r>
      <w:r w:rsidR="008F70AE" w:rsidRPr="00F41064">
        <w:rPr>
          <w:rFonts w:ascii="Times New Roman" w:hAnsi="Times New Roman"/>
          <w:spacing w:val="-4"/>
          <w:sz w:val="28"/>
          <w:szCs w:val="28"/>
        </w:rPr>
        <w:t>»</w:t>
      </w:r>
      <w:r w:rsidRPr="00F41064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F70AE" w:rsidRPr="00F41064">
        <w:rPr>
          <w:rFonts w:ascii="Times New Roman" w:hAnsi="Times New Roman"/>
          <w:spacing w:val="-4"/>
          <w:sz w:val="28"/>
          <w:szCs w:val="28"/>
        </w:rPr>
        <w:t>(далі – Закон)</w:t>
      </w:r>
      <w:r w:rsidR="008F70AE" w:rsidRPr="00F41064">
        <w:rPr>
          <w:spacing w:val="-4"/>
          <w:sz w:val="28"/>
          <w:szCs w:val="28"/>
        </w:rPr>
        <w:t xml:space="preserve"> </w:t>
      </w:r>
      <w:r w:rsidRPr="00F41064">
        <w:rPr>
          <w:rFonts w:ascii="Times New Roman" w:hAnsi="Times New Roman"/>
          <w:spacing w:val="-4"/>
          <w:sz w:val="28"/>
          <w:szCs w:val="28"/>
        </w:rPr>
        <w:t xml:space="preserve">потребує приведення у </w:t>
      </w:r>
      <w:r w:rsidR="00A03135" w:rsidRPr="00F41064">
        <w:rPr>
          <w:rFonts w:ascii="Times New Roman" w:hAnsi="Times New Roman"/>
          <w:spacing w:val="-4"/>
          <w:sz w:val="28"/>
          <w:szCs w:val="28"/>
        </w:rPr>
        <w:t>відповідність ряду нормативно-</w:t>
      </w:r>
      <w:r w:rsidRPr="00F41064">
        <w:rPr>
          <w:rFonts w:ascii="Times New Roman" w:hAnsi="Times New Roman"/>
          <w:spacing w:val="-4"/>
          <w:sz w:val="28"/>
          <w:szCs w:val="28"/>
        </w:rPr>
        <w:t xml:space="preserve">правових актів, в тому числі </w:t>
      </w:r>
      <w:r w:rsidR="008F70AE" w:rsidRPr="00F41064">
        <w:rPr>
          <w:rFonts w:ascii="Times New Roman" w:hAnsi="Times New Roman"/>
          <w:spacing w:val="-4"/>
          <w:sz w:val="28"/>
          <w:szCs w:val="28"/>
        </w:rPr>
        <w:t xml:space="preserve">внесення змін </w:t>
      </w:r>
      <w:r w:rsidRPr="00F41064">
        <w:rPr>
          <w:rFonts w:ascii="Times New Roman" w:hAnsi="Times New Roman"/>
          <w:spacing w:val="-4"/>
          <w:sz w:val="28"/>
          <w:szCs w:val="28"/>
        </w:rPr>
        <w:t>до Кодексу У</w:t>
      </w:r>
      <w:r w:rsidR="008F70AE" w:rsidRPr="00F41064">
        <w:rPr>
          <w:rFonts w:ascii="Times New Roman" w:hAnsi="Times New Roman"/>
          <w:spacing w:val="-4"/>
          <w:sz w:val="28"/>
          <w:szCs w:val="28"/>
        </w:rPr>
        <w:t>країни про адміністративні правопорушен</w:t>
      </w:r>
      <w:r w:rsidR="00864AFE" w:rsidRPr="00F41064">
        <w:rPr>
          <w:rFonts w:ascii="Times New Roman" w:hAnsi="Times New Roman"/>
          <w:spacing w:val="-4"/>
          <w:sz w:val="28"/>
          <w:szCs w:val="28"/>
        </w:rPr>
        <w:t xml:space="preserve">ня, яким передбачено відповідальність за порушення вимог законодавства </w:t>
      </w:r>
      <w:r w:rsidR="007173D0" w:rsidRPr="00F41064">
        <w:rPr>
          <w:rFonts w:ascii="Times New Roman" w:hAnsi="Times New Roman"/>
          <w:spacing w:val="-4"/>
          <w:sz w:val="28"/>
          <w:szCs w:val="28"/>
        </w:rPr>
        <w:t>у</w:t>
      </w:r>
      <w:r w:rsidR="00864AFE" w:rsidRPr="00F41064">
        <w:rPr>
          <w:rFonts w:ascii="Times New Roman" w:hAnsi="Times New Roman"/>
          <w:spacing w:val="-4"/>
          <w:sz w:val="28"/>
          <w:szCs w:val="28"/>
        </w:rPr>
        <w:t xml:space="preserve"> сфер</w:t>
      </w:r>
      <w:r w:rsidR="00B26AC7" w:rsidRPr="00F41064">
        <w:rPr>
          <w:rFonts w:ascii="Times New Roman" w:hAnsi="Times New Roman"/>
          <w:spacing w:val="-4"/>
          <w:sz w:val="28"/>
          <w:szCs w:val="28"/>
        </w:rPr>
        <w:t>ах</w:t>
      </w:r>
      <w:r w:rsidR="00864AFE" w:rsidRPr="00F41064">
        <w:rPr>
          <w:rFonts w:ascii="Times New Roman" w:hAnsi="Times New Roman"/>
          <w:spacing w:val="-4"/>
          <w:sz w:val="28"/>
          <w:szCs w:val="28"/>
        </w:rPr>
        <w:t xml:space="preserve"> електроенергетики та теплопостачання.</w:t>
      </w:r>
    </w:p>
    <w:p w:rsidR="004C52FD" w:rsidRPr="00F41064" w:rsidRDefault="004C52FD" w:rsidP="00AF255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>Пунктом 16 розділу XVII «Прикінцеві та перехідні положення» Закону Кабінету Міністрів України доручено утворити центральний орган виконавчої влади шляхом реорганізації Державної інспекції з експлуатації електричних станцій і мереж та Державної інспекції з енергетичного нагляду за режимами споживання електричної і теплової енергії.</w:t>
      </w:r>
    </w:p>
    <w:p w:rsidR="00432546" w:rsidRPr="00F41064" w:rsidRDefault="00E07B89" w:rsidP="00AF25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Відповідно до </w:t>
      </w:r>
      <w:r w:rsidR="00432546"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>п</w:t>
      </w:r>
      <w:r w:rsidR="004C52FD"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>останов</w:t>
      </w:r>
      <w:r w:rsidR="00432546"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>и</w:t>
      </w:r>
      <w:r w:rsidR="004C52FD"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Кабінету Міністрів України від </w:t>
      </w:r>
      <w:r w:rsidR="00432546"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10 </w:t>
      </w:r>
      <w:r w:rsidR="003256F0"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>вересня</w:t>
      </w:r>
      <w:r w:rsidR="001D225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                </w:t>
      </w:r>
      <w:r w:rsidR="003256F0"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2014 року</w:t>
      </w:r>
      <w:r w:rsidR="00432546"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№ 442 «Про оптимізацію системи центральних органів виконавчої влади» створено, як центральний орган виконавчої влади, Державну інспекцію енергетичного нагляду України, поклавши на </w:t>
      </w:r>
      <w:r w:rsidR="00387B46"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>неї</w:t>
      </w:r>
      <w:r w:rsidR="00432546"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функції з реалізації державної політики у сфері нагляду (контролю) у галузях електроенергетики та теплопостачання. </w:t>
      </w:r>
    </w:p>
    <w:p w:rsidR="00395A52" w:rsidRDefault="004C52FD" w:rsidP="00395A5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F41064">
        <w:rPr>
          <w:rFonts w:ascii="Times New Roman" w:hAnsi="Times New Roman"/>
          <w:spacing w:val="-4"/>
          <w:sz w:val="28"/>
          <w:szCs w:val="28"/>
        </w:rPr>
        <w:t>Державна інспекція енергетичного нагляду України в</w:t>
      </w:r>
      <w:r w:rsidR="008F70AE" w:rsidRPr="00F41064">
        <w:rPr>
          <w:rFonts w:ascii="Times New Roman" w:hAnsi="Times New Roman"/>
          <w:spacing w:val="-4"/>
          <w:sz w:val="28"/>
          <w:szCs w:val="28"/>
        </w:rPr>
        <w:t xml:space="preserve">ідповідно до </w:t>
      </w:r>
      <w:r w:rsidR="001D2254">
        <w:rPr>
          <w:rFonts w:ascii="Times New Roman" w:hAnsi="Times New Roman"/>
          <w:spacing w:val="-4"/>
          <w:sz w:val="28"/>
          <w:szCs w:val="28"/>
        </w:rPr>
        <w:t xml:space="preserve">                  </w:t>
      </w:r>
      <w:r w:rsidR="008F70AE" w:rsidRPr="00F41064">
        <w:rPr>
          <w:rFonts w:ascii="Times New Roman" w:hAnsi="Times New Roman"/>
          <w:spacing w:val="-4"/>
          <w:sz w:val="28"/>
          <w:szCs w:val="28"/>
        </w:rPr>
        <w:t>статті</w:t>
      </w:r>
      <w:r w:rsidR="001D2254">
        <w:rPr>
          <w:rFonts w:ascii="Times New Roman" w:hAnsi="Times New Roman"/>
          <w:spacing w:val="-4"/>
          <w:sz w:val="28"/>
          <w:szCs w:val="28"/>
        </w:rPr>
        <w:t xml:space="preserve">   </w:t>
      </w:r>
      <w:r w:rsidR="008F70AE" w:rsidRPr="00F41064">
        <w:rPr>
          <w:rFonts w:ascii="Times New Roman" w:hAnsi="Times New Roman"/>
          <w:spacing w:val="-4"/>
          <w:sz w:val="28"/>
          <w:szCs w:val="28"/>
        </w:rPr>
        <w:t>9 За</w:t>
      </w:r>
      <w:r w:rsidR="0095131A" w:rsidRPr="00F41064">
        <w:rPr>
          <w:rFonts w:ascii="Times New Roman" w:hAnsi="Times New Roman"/>
          <w:spacing w:val="-4"/>
          <w:sz w:val="28"/>
          <w:szCs w:val="28"/>
        </w:rPr>
        <w:t xml:space="preserve">кону реалізує державну політику у сфері нагляду (контролю) в галузі електроенергетики, зокрема </w:t>
      </w:r>
      <w:r w:rsidR="00FF3C68" w:rsidRPr="00F41064">
        <w:rPr>
          <w:rFonts w:ascii="Times New Roman" w:hAnsi="Times New Roman"/>
          <w:spacing w:val="-4"/>
          <w:sz w:val="28"/>
          <w:szCs w:val="28"/>
        </w:rPr>
        <w:t>здійсн</w:t>
      </w:r>
      <w:r w:rsidRPr="00F41064">
        <w:rPr>
          <w:rFonts w:ascii="Times New Roman" w:hAnsi="Times New Roman"/>
          <w:spacing w:val="-4"/>
          <w:sz w:val="28"/>
          <w:szCs w:val="28"/>
        </w:rPr>
        <w:t>ює</w:t>
      </w:r>
      <w:r w:rsidR="00FF3C68" w:rsidRPr="00F41064">
        <w:rPr>
          <w:color w:val="333333"/>
          <w:sz w:val="20"/>
          <w:szCs w:val="20"/>
          <w:shd w:val="clear" w:color="auto" w:fill="FFFFFF"/>
        </w:rPr>
        <w:t xml:space="preserve"> </w:t>
      </w:r>
      <w:r w:rsidR="00FF3C68" w:rsidRPr="00F41064">
        <w:rPr>
          <w:rFonts w:ascii="Times New Roman" w:hAnsi="Times New Roman"/>
          <w:spacing w:val="-4"/>
          <w:sz w:val="28"/>
          <w:szCs w:val="28"/>
        </w:rPr>
        <w:t>державн</w:t>
      </w:r>
      <w:r w:rsidR="00A03135" w:rsidRPr="00F41064">
        <w:rPr>
          <w:rFonts w:ascii="Times New Roman" w:hAnsi="Times New Roman"/>
          <w:spacing w:val="-4"/>
          <w:sz w:val="28"/>
          <w:szCs w:val="28"/>
        </w:rPr>
        <w:t>ий</w:t>
      </w:r>
      <w:r w:rsidR="00FF3C68" w:rsidRPr="00F41064">
        <w:rPr>
          <w:rFonts w:ascii="Times New Roman" w:hAnsi="Times New Roman"/>
          <w:spacing w:val="-4"/>
          <w:sz w:val="28"/>
          <w:szCs w:val="28"/>
        </w:rPr>
        <w:t xml:space="preserve"> енергетичн</w:t>
      </w:r>
      <w:r w:rsidR="00A03135" w:rsidRPr="00F41064">
        <w:rPr>
          <w:rFonts w:ascii="Times New Roman" w:hAnsi="Times New Roman"/>
          <w:spacing w:val="-4"/>
          <w:sz w:val="28"/>
          <w:szCs w:val="28"/>
        </w:rPr>
        <w:t>ий</w:t>
      </w:r>
      <w:r w:rsidR="00FF3C68" w:rsidRPr="00F41064">
        <w:rPr>
          <w:rFonts w:ascii="Times New Roman" w:hAnsi="Times New Roman"/>
          <w:spacing w:val="-4"/>
          <w:sz w:val="28"/>
          <w:szCs w:val="28"/>
        </w:rPr>
        <w:t xml:space="preserve"> нагляд за дотриманням учасниками ринку (крім споживачів) вимог правил та інших нормативно-правових актів з питань технічної експлуатації електричних станцій і мереж, технічного стану електричних установок і мереж</w:t>
      </w:r>
      <w:r w:rsidR="003464C3" w:rsidRPr="00F41064">
        <w:rPr>
          <w:rFonts w:ascii="Times New Roman" w:hAnsi="Times New Roman"/>
          <w:spacing w:val="-4"/>
          <w:sz w:val="28"/>
          <w:szCs w:val="28"/>
        </w:rPr>
        <w:t>.</w:t>
      </w:r>
    </w:p>
    <w:p w:rsidR="000350E0" w:rsidRDefault="000350E0" w:rsidP="00395A5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350E0" w:rsidRDefault="000350E0" w:rsidP="00395A5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350E0" w:rsidRDefault="000350E0" w:rsidP="00395A5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350E0" w:rsidRDefault="000350E0" w:rsidP="00395A5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350E0" w:rsidRPr="00395A52" w:rsidRDefault="000350E0" w:rsidP="00395A5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BA3166" w:rsidRPr="00F41064" w:rsidRDefault="00BA3166" w:rsidP="000350E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lastRenderedPageBreak/>
        <w:t>Крім того</w:t>
      </w:r>
      <w:r w:rsidR="00FF3C68"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>,</w:t>
      </w:r>
      <w:r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432546"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Державна інспекція енергетичного нагляду України згідно </w:t>
      </w:r>
      <w:r w:rsidR="00A03135"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>і</w:t>
      </w:r>
      <w:r w:rsidR="00432546"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з </w:t>
      </w:r>
      <w:r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>статтею 14 Закону України «Про теплопостачання»</w:t>
      </w:r>
      <w:r w:rsidR="00FF3C68"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>реалізує державну політику у сфері нагляду (контролю) у галузі те</w:t>
      </w:r>
      <w:bookmarkStart w:id="0" w:name="_GoBack"/>
      <w:bookmarkEnd w:id="0"/>
      <w:r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плопостачання, </w:t>
      </w:r>
      <w:r w:rsidR="00AF2555"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зокрема </w:t>
      </w:r>
      <w:r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здійснює нагляд за тепловими, </w:t>
      </w:r>
      <w:proofErr w:type="spellStart"/>
      <w:r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>тепловикористальними</w:t>
      </w:r>
      <w:proofErr w:type="spellEnd"/>
      <w:r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установками та мережами суб’єктів відносин у сфері теплопостачання щодо додержання вимог нормативно-правових актів, норм і правил з питань технічного стану теплових, </w:t>
      </w:r>
      <w:proofErr w:type="spellStart"/>
      <w:r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>тепловикористальних</w:t>
      </w:r>
      <w:proofErr w:type="spellEnd"/>
      <w:r w:rsidR="001D225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>установок та мереж, їх експлуатації, проектування, будівництва, підтвердження готовності до роботи, користування енергією у сфері теплопостачання.</w:t>
      </w:r>
    </w:p>
    <w:p w:rsidR="00432546" w:rsidRPr="00F41064" w:rsidRDefault="00432546" w:rsidP="00AF25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Відповідне Положення про </w:t>
      </w:r>
      <w:r w:rsidRPr="00F41064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Державну інспекці</w:t>
      </w:r>
      <w:r w:rsidR="001D2254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ю енергетичного нагляду України</w:t>
      </w:r>
      <w:r w:rsidRPr="00F41064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затверджен</w:t>
      </w:r>
      <w:r w:rsidR="001D2254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о</w:t>
      </w:r>
      <w:r w:rsidRPr="00F41064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постановою Кабінету Міністрів України</w:t>
      </w:r>
      <w:r w:rsidRPr="00F41064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3256F0" w:rsidRPr="00F4106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від 14 лютого 2018 року</w:t>
      </w:r>
      <w:r w:rsidRPr="00F4106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№ 77.</w:t>
      </w:r>
    </w:p>
    <w:p w:rsidR="00D43446" w:rsidRPr="00F41064" w:rsidRDefault="00AF2555" w:rsidP="00AF255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В той же час </w:t>
      </w:r>
      <w:r w:rsidR="00D43446"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>діюч</w:t>
      </w:r>
      <w:r w:rsidR="007173D0"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>і</w:t>
      </w:r>
      <w:r w:rsidR="00D43446"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норми статей 95-1,</w:t>
      </w:r>
      <w:r w:rsidR="00B26AC7"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D43446"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>188-20</w:t>
      </w:r>
      <w:r w:rsidR="00B26AC7"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та</w:t>
      </w:r>
      <w:r w:rsidR="00D43446"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244-13 Кодексу України про адміністративні правопорушення не узгоджуються з нормами законів України «Про ринок електричної енергії»</w:t>
      </w:r>
      <w:r w:rsidR="00395A52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, </w:t>
      </w:r>
      <w:r w:rsidR="00D43446"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«Про теплопостачання».</w:t>
      </w:r>
    </w:p>
    <w:p w:rsidR="00205056" w:rsidRPr="00F41064" w:rsidRDefault="001D2ADE" w:rsidP="00AF2555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>Також,</w:t>
      </w:r>
      <w:r w:rsidR="008D4FCB"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C71D8F"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>Кодексом України про адміністративні правопорушення передбачено штрафні санкції, однак розмір більшості санкцій у сферах електроенергетики та теплопостачання не відповідає вимогам сучасності та не мож</w:t>
      </w:r>
      <w:r w:rsidR="00395A52">
        <w:rPr>
          <w:rFonts w:ascii="Times New Roman" w:hAnsi="Times New Roman" w:cs="Times New Roman"/>
          <w:spacing w:val="-4"/>
          <w:sz w:val="28"/>
          <w:szCs w:val="28"/>
          <w:lang w:val="uk-UA"/>
        </w:rPr>
        <w:t>е</w:t>
      </w:r>
      <w:r w:rsidR="00C71D8F"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виконувати карну функцію адміністративної відповідальності через занадто малий розмір. У зв’язку з </w:t>
      </w:r>
      <w:r w:rsidR="00395A52">
        <w:rPr>
          <w:rFonts w:ascii="Times New Roman" w:hAnsi="Times New Roman" w:cs="Times New Roman"/>
          <w:spacing w:val="-4"/>
          <w:sz w:val="28"/>
          <w:szCs w:val="28"/>
          <w:lang w:val="uk-UA"/>
        </w:rPr>
        <w:t>цим</w:t>
      </w:r>
      <w:r w:rsidR="00C71D8F"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вже давно назріла потреба їх перегляду.</w:t>
      </w:r>
    </w:p>
    <w:p w:rsidR="00FF3C68" w:rsidRPr="00F41064" w:rsidRDefault="00FF3C68" w:rsidP="00AF2555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Таким чином, </w:t>
      </w:r>
      <w:r w:rsidR="00B26AC7"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для забезпечення </w:t>
      </w:r>
      <w:r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функціонування </w:t>
      </w:r>
      <w:proofErr w:type="spellStart"/>
      <w:r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>Держенергонагляду</w:t>
      </w:r>
      <w:proofErr w:type="spellEnd"/>
      <w:r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як центрального органу виконавчої влади</w:t>
      </w:r>
      <w:r w:rsidR="00A03135"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>,</w:t>
      </w:r>
      <w:r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B26AC7"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положення Кодексу України про адміністративні правопорушення, яким передбачено відповідальність за порушення вимог законодавства, потребують </w:t>
      </w:r>
      <w:r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приведення у відповідність </w:t>
      </w:r>
      <w:r w:rsidR="00B26AC7"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>до вимог законів України «Про ринок електричної енергії» та «Про теплопостачання».</w:t>
      </w:r>
      <w:r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</w:p>
    <w:p w:rsidR="00A662F3" w:rsidRPr="00F41064" w:rsidRDefault="00A662F3" w:rsidP="00AF2555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A662F3" w:rsidRPr="00F41064" w:rsidRDefault="00A662F3" w:rsidP="003256F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41064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3. </w:t>
      </w:r>
      <w:r w:rsidR="003256F0" w:rsidRPr="00F4106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Основні положення </w:t>
      </w:r>
      <w:proofErr w:type="spellStart"/>
      <w:r w:rsidR="003256F0" w:rsidRPr="00F41064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проєкту</w:t>
      </w:r>
      <w:proofErr w:type="spellEnd"/>
      <w:r w:rsidR="003256F0" w:rsidRPr="00F4106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3256F0" w:rsidRPr="00F41064">
        <w:rPr>
          <w:rFonts w:ascii="Times New Roman" w:hAnsi="Times New Roman" w:cs="Times New Roman"/>
          <w:b/>
          <w:bCs/>
          <w:sz w:val="28"/>
          <w:szCs w:val="28"/>
          <w:lang w:val="uk-UA"/>
        </w:rPr>
        <w:t>акта</w:t>
      </w:r>
      <w:proofErr w:type="spellEnd"/>
    </w:p>
    <w:p w:rsidR="00A662F3" w:rsidRPr="00F41064" w:rsidRDefault="00A662F3" w:rsidP="00AF25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>У зв’язку зі створенням та функціонуванням центрального органу виконавчої влади, що реалізує державну політику у сфері державного нагляду (контролю) у галузях електроенер</w:t>
      </w:r>
      <w:r w:rsidR="00482AD1"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гетики та теплопостачання, </w:t>
      </w:r>
      <w:proofErr w:type="spellStart"/>
      <w:r w:rsidR="00482AD1"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>проє</w:t>
      </w:r>
      <w:r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>ктом</w:t>
      </w:r>
      <w:proofErr w:type="spellEnd"/>
      <w:r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Закону пропонується вдосконалити державну політику у сфері енергетичного нагляду з метою забезпечення належного технічного стану та експлуатації </w:t>
      </w:r>
      <w:proofErr w:type="spellStart"/>
      <w:r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>енергообладнання</w:t>
      </w:r>
      <w:proofErr w:type="spellEnd"/>
      <w:r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та мереж як основної складової сталого функціонування вказаних галузей.</w:t>
      </w:r>
    </w:p>
    <w:p w:rsidR="00A662F3" w:rsidRPr="00F41064" w:rsidRDefault="00A662F3" w:rsidP="00AF25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Зокрема пропонується </w:t>
      </w:r>
      <w:proofErr w:type="spellStart"/>
      <w:r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>внести</w:t>
      </w:r>
      <w:proofErr w:type="spellEnd"/>
      <w:r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зміни до Кодексу України про</w:t>
      </w:r>
      <w:r w:rsidR="001D2ADE"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адміністративні правопорушення</w:t>
      </w:r>
      <w:r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>, щодо:</w:t>
      </w:r>
    </w:p>
    <w:p w:rsidR="00A662F3" w:rsidRPr="00F41064" w:rsidRDefault="00A662F3" w:rsidP="00AF2555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>приведення у відповідність положень, що регулюють відповідальність за порушення</w:t>
      </w:r>
      <w:r w:rsidR="008D4FCB"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A03135"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вимог нормативно-правових актів, норм і правил </w:t>
      </w:r>
      <w:r w:rsidR="00395A52" w:rsidRPr="001D2254">
        <w:rPr>
          <w:rFonts w:ascii="Times New Roman" w:hAnsi="Times New Roman" w:cs="Times New Roman"/>
          <w:sz w:val="28"/>
          <w:szCs w:val="28"/>
          <w:lang w:val="uk-UA"/>
        </w:rPr>
        <w:t xml:space="preserve">з питань технічної експлуатації електричних станцій і мереж, технічного стану електричних установок і мереж учасників ринку електроенергії, з питань технічного стану та організації експлуатації теплових, </w:t>
      </w:r>
      <w:proofErr w:type="spellStart"/>
      <w:r w:rsidR="00395A52" w:rsidRPr="001D2254">
        <w:rPr>
          <w:rFonts w:ascii="Times New Roman" w:hAnsi="Times New Roman" w:cs="Times New Roman"/>
          <w:sz w:val="28"/>
          <w:szCs w:val="28"/>
          <w:lang w:val="uk-UA"/>
        </w:rPr>
        <w:t>тепловикористальних</w:t>
      </w:r>
      <w:proofErr w:type="spellEnd"/>
      <w:r w:rsidR="00395A52" w:rsidRPr="001D225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95A52" w:rsidRPr="001D2254">
        <w:rPr>
          <w:rFonts w:ascii="Times New Roman" w:hAnsi="Times New Roman" w:cs="Times New Roman"/>
          <w:sz w:val="28"/>
          <w:szCs w:val="28"/>
          <w:lang w:val="uk-UA"/>
        </w:rPr>
        <w:t>теплогенеруючих</w:t>
      </w:r>
      <w:proofErr w:type="spellEnd"/>
      <w:r w:rsidR="00395A52" w:rsidRPr="001D2254">
        <w:rPr>
          <w:rFonts w:ascii="Times New Roman" w:hAnsi="Times New Roman" w:cs="Times New Roman"/>
          <w:sz w:val="28"/>
          <w:szCs w:val="28"/>
          <w:lang w:val="uk-UA"/>
        </w:rPr>
        <w:t xml:space="preserve"> установок і мереж, випробування та ремонту зазначених установок і мереж, режимів постачання теплової енергії суб’</w:t>
      </w:r>
      <w:r w:rsidR="00395A52" w:rsidRPr="00395A52">
        <w:rPr>
          <w:rFonts w:ascii="Times New Roman" w:hAnsi="Times New Roman" w:cs="Times New Roman"/>
          <w:sz w:val="28"/>
          <w:szCs w:val="28"/>
          <w:lang w:val="uk-UA"/>
        </w:rPr>
        <w:t>єктів відносин у сфері теплопостачання</w:t>
      </w:r>
      <w:r w:rsidR="008D4FCB" w:rsidRPr="00395A52">
        <w:rPr>
          <w:rFonts w:ascii="Times New Roman" w:hAnsi="Times New Roman" w:cs="Times New Roman"/>
          <w:spacing w:val="-4"/>
          <w:sz w:val="28"/>
          <w:szCs w:val="28"/>
          <w:lang w:val="uk-UA"/>
        </w:rPr>
        <w:t>;</w:t>
      </w:r>
      <w:r w:rsidR="008D4FCB"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</w:p>
    <w:p w:rsidR="008D4FCB" w:rsidRPr="00F41064" w:rsidRDefault="008D4FCB" w:rsidP="00AF2555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>приведення у відповідність положень, що регулю</w:t>
      </w:r>
      <w:r w:rsidR="007173D0"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>ю</w:t>
      </w:r>
      <w:r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ть  питання відповідальності за невиконання законних вимог посадових осіб  центрального </w:t>
      </w:r>
      <w:r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lastRenderedPageBreak/>
        <w:t>органу виконавчої влади, що реалізує державну політику у сфері нагляду (контролю) у галузях електроенергетики та теплопостачання</w:t>
      </w:r>
      <w:r w:rsidR="00E0670B">
        <w:rPr>
          <w:rFonts w:ascii="Times New Roman" w:hAnsi="Times New Roman" w:cs="Times New Roman"/>
          <w:spacing w:val="-4"/>
          <w:sz w:val="28"/>
          <w:szCs w:val="28"/>
          <w:lang w:val="uk-UA"/>
        </w:rPr>
        <w:t>.</w:t>
      </w:r>
    </w:p>
    <w:p w:rsidR="00972E87" w:rsidRPr="00F41064" w:rsidRDefault="00482AD1" w:rsidP="00AF2555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proofErr w:type="spellStart"/>
      <w:r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>Проє</w:t>
      </w:r>
      <w:r w:rsidR="00972E87"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>ктом</w:t>
      </w:r>
      <w:proofErr w:type="spellEnd"/>
      <w:r w:rsidR="00972E87"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Закону передбачається також </w:t>
      </w:r>
      <w:r w:rsidR="00B26AC7"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>врегулювання питання щодо</w:t>
      </w:r>
      <w:r w:rsidR="00972E87"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переліку осіб, які мають право складати протоколи про адміністративні правопорушення, </w:t>
      </w:r>
      <w:r w:rsidR="00B26AC7"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а саме </w:t>
      </w:r>
      <w:r w:rsidR="00972E87"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>уповноважени</w:t>
      </w:r>
      <w:r w:rsidR="00B26AC7"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>х</w:t>
      </w:r>
      <w:r w:rsidR="00972E87"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ос</w:t>
      </w:r>
      <w:r w:rsidR="00A03135"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>іб</w:t>
      </w:r>
      <w:r w:rsidR="00972E87"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центрального органу виконавчої влади, що реалізує державну політику у сфері нагляду (контролю) у галузях електроенергетики та теплопостачання.</w:t>
      </w:r>
    </w:p>
    <w:p w:rsidR="00DE6485" w:rsidRDefault="00DE6485" w:rsidP="00395A52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p w:rsidR="003256F0" w:rsidRPr="00F41064" w:rsidRDefault="00A662F3" w:rsidP="003256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F41064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4. </w:t>
      </w:r>
      <w:r w:rsidR="003256F0" w:rsidRPr="00F41064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Правові аспекти </w:t>
      </w:r>
    </w:p>
    <w:p w:rsidR="00A662F3" w:rsidRPr="001D2254" w:rsidRDefault="00395A52" w:rsidP="00395A52">
      <w:pPr>
        <w:spacing w:after="0"/>
        <w:ind w:left="567"/>
        <w:jc w:val="both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 w:rsidRPr="001D2254">
        <w:rPr>
          <w:rFonts w:ascii="Times New Roman" w:hAnsi="Times New Roman" w:cs="Times New Roman"/>
          <w:spacing w:val="-4"/>
          <w:sz w:val="28"/>
          <w:szCs w:val="28"/>
          <w:lang w:val="ru-RU"/>
        </w:rPr>
        <w:t>Нормативно-</w:t>
      </w:r>
      <w:proofErr w:type="spellStart"/>
      <w:r w:rsidRPr="001D2254">
        <w:rPr>
          <w:rFonts w:ascii="Times New Roman" w:hAnsi="Times New Roman" w:cs="Times New Roman"/>
          <w:spacing w:val="-4"/>
          <w:sz w:val="28"/>
          <w:szCs w:val="28"/>
          <w:lang w:val="ru-RU"/>
        </w:rPr>
        <w:t>правові</w:t>
      </w:r>
      <w:proofErr w:type="spellEnd"/>
      <w:r w:rsidRPr="001D225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proofErr w:type="spellStart"/>
      <w:r w:rsidRPr="001D2254">
        <w:rPr>
          <w:rFonts w:ascii="Times New Roman" w:hAnsi="Times New Roman" w:cs="Times New Roman"/>
          <w:spacing w:val="-4"/>
          <w:sz w:val="28"/>
          <w:szCs w:val="28"/>
          <w:lang w:val="ru-RU"/>
        </w:rPr>
        <w:t>акти</w:t>
      </w:r>
      <w:proofErr w:type="spellEnd"/>
      <w:r w:rsidRPr="001D225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, </w:t>
      </w:r>
      <w:proofErr w:type="spellStart"/>
      <w:r w:rsidRPr="001D2254">
        <w:rPr>
          <w:rFonts w:ascii="Times New Roman" w:hAnsi="Times New Roman" w:cs="Times New Roman"/>
          <w:spacing w:val="-4"/>
          <w:sz w:val="28"/>
          <w:szCs w:val="28"/>
          <w:lang w:val="ru-RU"/>
        </w:rPr>
        <w:t>що</w:t>
      </w:r>
      <w:proofErr w:type="spellEnd"/>
      <w:r w:rsidRPr="001D225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proofErr w:type="spellStart"/>
      <w:r w:rsidRPr="001D2254">
        <w:rPr>
          <w:rFonts w:ascii="Times New Roman" w:hAnsi="Times New Roman" w:cs="Times New Roman"/>
          <w:spacing w:val="-4"/>
          <w:sz w:val="28"/>
          <w:szCs w:val="28"/>
          <w:lang w:val="ru-RU"/>
        </w:rPr>
        <w:t>діють</w:t>
      </w:r>
      <w:proofErr w:type="spellEnd"/>
      <w:r w:rsidRPr="001D225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у </w:t>
      </w:r>
      <w:proofErr w:type="spellStart"/>
      <w:r w:rsidRPr="001D2254">
        <w:rPr>
          <w:rFonts w:ascii="Times New Roman" w:hAnsi="Times New Roman" w:cs="Times New Roman"/>
          <w:spacing w:val="-4"/>
          <w:sz w:val="28"/>
          <w:szCs w:val="28"/>
          <w:lang w:val="ru-RU"/>
        </w:rPr>
        <w:t>відповідній</w:t>
      </w:r>
      <w:proofErr w:type="spellEnd"/>
      <w:r w:rsidRPr="001D225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proofErr w:type="spellStart"/>
      <w:r w:rsidRPr="001D2254">
        <w:rPr>
          <w:rFonts w:ascii="Times New Roman" w:hAnsi="Times New Roman" w:cs="Times New Roman"/>
          <w:spacing w:val="-4"/>
          <w:sz w:val="28"/>
          <w:szCs w:val="28"/>
          <w:lang w:val="ru-RU"/>
        </w:rPr>
        <w:t>сфері</w:t>
      </w:r>
      <w:proofErr w:type="spellEnd"/>
      <w:r w:rsidRPr="001D225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proofErr w:type="spellStart"/>
      <w:r w:rsidRPr="001D2254">
        <w:rPr>
          <w:rFonts w:ascii="Times New Roman" w:hAnsi="Times New Roman" w:cs="Times New Roman"/>
          <w:spacing w:val="-4"/>
          <w:sz w:val="28"/>
          <w:szCs w:val="28"/>
          <w:lang w:val="ru-RU"/>
        </w:rPr>
        <w:t>суспільних</w:t>
      </w:r>
      <w:proofErr w:type="spellEnd"/>
      <w:r w:rsidRPr="001D225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proofErr w:type="spellStart"/>
      <w:r w:rsidRPr="001D2254">
        <w:rPr>
          <w:rFonts w:ascii="Times New Roman" w:hAnsi="Times New Roman" w:cs="Times New Roman"/>
          <w:spacing w:val="-4"/>
          <w:sz w:val="28"/>
          <w:szCs w:val="28"/>
          <w:lang w:val="ru-RU"/>
        </w:rPr>
        <w:t>відносин</w:t>
      </w:r>
      <w:proofErr w:type="spellEnd"/>
      <w:r w:rsidRPr="001D2254">
        <w:rPr>
          <w:rFonts w:ascii="Times New Roman" w:hAnsi="Times New Roman" w:cs="Times New Roman"/>
          <w:spacing w:val="-4"/>
          <w:sz w:val="28"/>
          <w:szCs w:val="28"/>
          <w:lang w:val="ru-RU"/>
        </w:rPr>
        <w:t>:</w:t>
      </w:r>
      <w:r w:rsidR="00A662F3" w:rsidRPr="00395A52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</w:p>
    <w:p w:rsidR="00A662F3" w:rsidRPr="00F41064" w:rsidRDefault="00A662F3" w:rsidP="00395A52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>Кодекс України про адміністративні правопорушення;</w:t>
      </w:r>
    </w:p>
    <w:p w:rsidR="00A662F3" w:rsidRPr="00F41064" w:rsidRDefault="00A662F3" w:rsidP="00AF2555">
      <w:pPr>
        <w:pStyle w:val="rvps2"/>
        <w:spacing w:before="0" w:beforeAutospacing="0" w:after="0" w:afterAutospacing="0"/>
        <w:ind w:firstLine="567"/>
        <w:contextualSpacing/>
        <w:jc w:val="both"/>
        <w:rPr>
          <w:rFonts w:eastAsia="Calibri"/>
          <w:spacing w:val="-4"/>
          <w:sz w:val="28"/>
          <w:szCs w:val="28"/>
          <w:lang w:val="uk-UA" w:eastAsia="uk-UA"/>
        </w:rPr>
      </w:pPr>
      <w:r w:rsidRPr="00F41064">
        <w:rPr>
          <w:rFonts w:eastAsia="Calibri"/>
          <w:spacing w:val="-4"/>
          <w:sz w:val="28"/>
          <w:szCs w:val="28"/>
          <w:lang w:val="uk-UA" w:eastAsia="uk-UA"/>
        </w:rPr>
        <w:t>Закон України «Про основні засади державного нагляду (контролю) у сфері господарської діяльності»;</w:t>
      </w:r>
    </w:p>
    <w:p w:rsidR="00A662F3" w:rsidRPr="00F41064" w:rsidRDefault="00A662F3" w:rsidP="00AF2555">
      <w:pPr>
        <w:pStyle w:val="rvps2"/>
        <w:spacing w:before="0" w:beforeAutospacing="0" w:after="0" w:afterAutospacing="0"/>
        <w:ind w:firstLine="567"/>
        <w:contextualSpacing/>
        <w:jc w:val="both"/>
        <w:rPr>
          <w:rFonts w:eastAsia="Calibri"/>
          <w:spacing w:val="-4"/>
          <w:sz w:val="28"/>
          <w:szCs w:val="28"/>
          <w:lang w:val="uk-UA" w:eastAsia="uk-UA"/>
        </w:rPr>
      </w:pPr>
      <w:r w:rsidRPr="00F41064">
        <w:rPr>
          <w:rFonts w:eastAsia="Calibri"/>
          <w:spacing w:val="-4"/>
          <w:sz w:val="28"/>
          <w:szCs w:val="28"/>
          <w:lang w:val="uk-UA" w:eastAsia="uk-UA"/>
        </w:rPr>
        <w:t>Закон України «Про ринок електричної енергії»;</w:t>
      </w:r>
    </w:p>
    <w:p w:rsidR="00A662F3" w:rsidRPr="00F41064" w:rsidRDefault="00A662F3" w:rsidP="00AF2555">
      <w:pPr>
        <w:pStyle w:val="a3"/>
        <w:ind w:firstLine="567"/>
        <w:contextualSpacing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>Закон України «Про теплопостачання»;</w:t>
      </w:r>
    </w:p>
    <w:p w:rsidR="003256F0" w:rsidRPr="00F41064" w:rsidRDefault="00482AD1" w:rsidP="00AF2555">
      <w:pPr>
        <w:pStyle w:val="a3"/>
        <w:ind w:firstLine="567"/>
        <w:contextualSpacing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>п</w:t>
      </w:r>
      <w:r w:rsidR="003256F0"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>останова Кабінету Міністрів України від 14 лютого 2018 року № 77 «</w:t>
      </w:r>
      <w:r w:rsidR="003256F0" w:rsidRPr="00F4106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Деякі питання Державної інспекції енергетичного нагляду України».</w:t>
      </w:r>
    </w:p>
    <w:p w:rsidR="00A662F3" w:rsidRPr="00F41064" w:rsidRDefault="00A662F3" w:rsidP="00AF2555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A662F3" w:rsidRPr="00F41064" w:rsidRDefault="00A662F3" w:rsidP="00AF25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F41064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5. Фінансово-економічне обґрунтування</w:t>
      </w:r>
    </w:p>
    <w:p w:rsidR="00A662F3" w:rsidRPr="00F41064" w:rsidRDefault="00482AD1" w:rsidP="00AF2555">
      <w:pPr>
        <w:shd w:val="clear" w:color="auto" w:fill="FFFFFF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Реалізація </w:t>
      </w:r>
      <w:proofErr w:type="spellStart"/>
      <w:r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>проє</w:t>
      </w:r>
      <w:r w:rsidR="00A662F3"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>кту</w:t>
      </w:r>
      <w:proofErr w:type="spellEnd"/>
      <w:r w:rsidR="00A662F3"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Закону не потребуватиме додаткового фінансування з державного та місцевого бюджетів і здійснюватиметься в межах видатків, передбачених Законом України «Про Державний бюджет України на 202</w:t>
      </w:r>
      <w:r w:rsidR="003256F0"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>1</w:t>
      </w:r>
      <w:r w:rsidR="00A662F3"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рік» на функціонування </w:t>
      </w:r>
      <w:proofErr w:type="spellStart"/>
      <w:r w:rsidR="00A662F3"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>Держенергонагляду</w:t>
      </w:r>
      <w:proofErr w:type="spellEnd"/>
      <w:r w:rsidR="00A662F3"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>.</w:t>
      </w:r>
    </w:p>
    <w:p w:rsidR="003256F0" w:rsidRPr="00F41064" w:rsidRDefault="003256F0" w:rsidP="00AF2555">
      <w:pPr>
        <w:shd w:val="clear" w:color="auto" w:fill="FFFFFF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3256F0" w:rsidRPr="00F41064" w:rsidRDefault="003256F0" w:rsidP="003256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41064">
        <w:rPr>
          <w:rFonts w:ascii="Times New Roman" w:hAnsi="Times New Roman"/>
          <w:spacing w:val="-4"/>
          <w:sz w:val="28"/>
          <w:szCs w:val="28"/>
          <w:lang w:val="uk-UA"/>
        </w:rPr>
        <w:t xml:space="preserve">6. </w:t>
      </w:r>
      <w:r w:rsidRPr="00F41064">
        <w:rPr>
          <w:rFonts w:ascii="Times New Roman" w:hAnsi="Times New Roman" w:cs="Times New Roman"/>
          <w:b/>
          <w:bCs/>
          <w:sz w:val="28"/>
          <w:szCs w:val="28"/>
          <w:lang w:val="uk-UA"/>
        </w:rPr>
        <w:t>Оцінка відповідності</w:t>
      </w:r>
    </w:p>
    <w:p w:rsidR="00A662F3" w:rsidRPr="00F41064" w:rsidRDefault="003256F0" w:rsidP="00482AD1">
      <w:p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F4106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У </w:t>
      </w:r>
      <w:proofErr w:type="spellStart"/>
      <w:r w:rsidRPr="00F41064">
        <w:rPr>
          <w:rFonts w:ascii="Times New Roman" w:hAnsi="Times New Roman" w:cs="Times New Roman"/>
          <w:sz w:val="28"/>
          <w:szCs w:val="28"/>
          <w:lang w:val="uk-UA"/>
        </w:rPr>
        <w:t>проєкті</w:t>
      </w:r>
      <w:proofErr w:type="spellEnd"/>
      <w:r w:rsidRPr="00F41064">
        <w:rPr>
          <w:rFonts w:ascii="Times New Roman" w:hAnsi="Times New Roman" w:cs="Times New Roman"/>
          <w:sz w:val="28"/>
          <w:szCs w:val="28"/>
          <w:lang w:val="uk-UA"/>
        </w:rPr>
        <w:t xml:space="preserve"> Закону відсутні положення, що стосуються </w:t>
      </w:r>
      <w:r w:rsidRPr="00F410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впливу на </w:t>
      </w:r>
      <w:r w:rsidRPr="00F410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зобов’язання України у сфері європейської інтеграції, прав та свобод, гарантованих Конвенцією про захист прав людини і основоположних свобод, впливають на забезпечення рівних прав та можливостей жінок і чоловіків, містять ризики вчинення корупційних правопорушень та правопорушень, пов’язаних з корупцією, створюють підстави для дискримінації.</w:t>
      </w:r>
    </w:p>
    <w:p w:rsidR="00A662F3" w:rsidRPr="00F41064" w:rsidRDefault="003256F0" w:rsidP="003256F0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ab/>
      </w:r>
      <w:r w:rsidRPr="00F41064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ab/>
        <w:t>7</w:t>
      </w:r>
      <w:r w:rsidR="00A662F3" w:rsidRPr="00F41064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. </w:t>
      </w:r>
      <w:r w:rsidRPr="00F4106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Прогноз результатів</w:t>
      </w:r>
    </w:p>
    <w:p w:rsidR="00A662F3" w:rsidRPr="00F41064" w:rsidRDefault="003256F0" w:rsidP="00AF2555">
      <w:pPr>
        <w:tabs>
          <w:tab w:val="left" w:pos="426"/>
          <w:tab w:val="left" w:pos="567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Реалізація </w:t>
      </w:r>
      <w:proofErr w:type="spellStart"/>
      <w:r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>проє</w:t>
      </w:r>
      <w:r w:rsidR="00A662F3"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>кту</w:t>
      </w:r>
      <w:proofErr w:type="spellEnd"/>
      <w:r w:rsidR="00A662F3"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Закону за предметом правового регулювання матиме вплив на забезпечення прав та інте</w:t>
      </w:r>
      <w:r w:rsidR="00220632"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ресів суб'єктів господарювання </w:t>
      </w:r>
      <w:r w:rsidR="00A662F3"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>(регуляторний вплив).</w:t>
      </w:r>
    </w:p>
    <w:p w:rsidR="00A662F3" w:rsidRPr="00F41064" w:rsidRDefault="003256F0" w:rsidP="00AF2555">
      <w:pPr>
        <w:tabs>
          <w:tab w:val="left" w:pos="426"/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proofErr w:type="spellStart"/>
      <w:r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>Проє</w:t>
      </w:r>
      <w:r w:rsidR="00A662F3"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>кт</w:t>
      </w:r>
      <w:proofErr w:type="spellEnd"/>
      <w:r w:rsidR="00A662F3"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Закону не стосується питань функціонування місцевого самоврядування, прав та інтересів територіальних громад, місцевого та регіонального розвитку; питання розвитку адміністративно-територіальних одиниць; соціально-трудової сфери, прав осіб з інвалідністю і не потребує погодження з уповноваженими представниками від всеукраїнських профспілок, їх об’єднань, всеукраїнських об’єднань організацій роботодавців.</w:t>
      </w:r>
    </w:p>
    <w:p w:rsidR="00A662F3" w:rsidRPr="00F41064" w:rsidRDefault="003256F0" w:rsidP="00AF255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proofErr w:type="spellStart"/>
      <w:r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>Проє</w:t>
      </w:r>
      <w:r w:rsidR="00A662F3"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>кт</w:t>
      </w:r>
      <w:proofErr w:type="spellEnd"/>
      <w:r w:rsidR="00A662F3" w:rsidRPr="00F4106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Закону не стосується питань сфери наукової та науково-технічної діяльності.</w:t>
      </w:r>
    </w:p>
    <w:p w:rsidR="00A662F3" w:rsidRPr="00F41064" w:rsidRDefault="003256F0" w:rsidP="00AF2555">
      <w:pPr>
        <w:pStyle w:val="a4"/>
        <w:tabs>
          <w:tab w:val="left" w:pos="426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F41064">
        <w:rPr>
          <w:rFonts w:ascii="Times New Roman" w:hAnsi="Times New Roman"/>
          <w:spacing w:val="-4"/>
          <w:sz w:val="28"/>
          <w:szCs w:val="28"/>
        </w:rPr>
        <w:lastRenderedPageBreak/>
        <w:t xml:space="preserve">У </w:t>
      </w:r>
      <w:proofErr w:type="spellStart"/>
      <w:r w:rsidRPr="00F41064">
        <w:rPr>
          <w:rFonts w:ascii="Times New Roman" w:hAnsi="Times New Roman"/>
          <w:spacing w:val="-4"/>
          <w:sz w:val="28"/>
          <w:szCs w:val="28"/>
        </w:rPr>
        <w:t>проє</w:t>
      </w:r>
      <w:r w:rsidR="00A662F3" w:rsidRPr="00F41064">
        <w:rPr>
          <w:rFonts w:ascii="Times New Roman" w:hAnsi="Times New Roman"/>
          <w:spacing w:val="-4"/>
          <w:sz w:val="28"/>
          <w:szCs w:val="28"/>
        </w:rPr>
        <w:t>кті</w:t>
      </w:r>
      <w:proofErr w:type="spellEnd"/>
      <w:r w:rsidR="00A662F3" w:rsidRPr="00F41064">
        <w:rPr>
          <w:rFonts w:ascii="Times New Roman" w:hAnsi="Times New Roman"/>
          <w:spacing w:val="-4"/>
          <w:sz w:val="28"/>
          <w:szCs w:val="28"/>
        </w:rPr>
        <w:t xml:space="preserve"> Закону відсутні положення, що стосуються прав та свобод, гарантованих Конвенцією про захист прав людини і основоположних свобод, що впливають на забезпечення рівних прав та можливостей жінок і чоловіків, містять ризики вчинення корупційних правопорушень та правопорушень, пов’язаних з корупцією, створюють підстави для дискримінації, стосуються інших ризиків та обмежень, які можуть виникнути під час реалізації </w:t>
      </w:r>
      <w:proofErr w:type="spellStart"/>
      <w:r w:rsidR="00A662F3" w:rsidRPr="00F41064">
        <w:rPr>
          <w:rFonts w:ascii="Times New Roman" w:hAnsi="Times New Roman"/>
          <w:spacing w:val="-4"/>
          <w:sz w:val="28"/>
          <w:szCs w:val="28"/>
        </w:rPr>
        <w:t>акта</w:t>
      </w:r>
      <w:proofErr w:type="spellEnd"/>
      <w:r w:rsidR="00A662F3" w:rsidRPr="00F41064">
        <w:rPr>
          <w:rFonts w:ascii="Times New Roman" w:hAnsi="Times New Roman"/>
          <w:spacing w:val="-4"/>
          <w:sz w:val="28"/>
          <w:szCs w:val="28"/>
        </w:rPr>
        <w:t>.</w:t>
      </w:r>
    </w:p>
    <w:p w:rsidR="003256F0" w:rsidRPr="00F41064" w:rsidRDefault="003256F0" w:rsidP="003256F0">
      <w:pPr>
        <w:pStyle w:val="a4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41064">
        <w:rPr>
          <w:rFonts w:ascii="Times New Roman" w:hAnsi="Times New Roman"/>
          <w:sz w:val="28"/>
          <w:szCs w:val="28"/>
        </w:rPr>
        <w:t xml:space="preserve">  Вплив на ключові інтереси заінтересованих сторін:</w:t>
      </w:r>
    </w:p>
    <w:p w:rsidR="00CE1857" w:rsidRPr="00F41064" w:rsidRDefault="00CE1857" w:rsidP="003256F0">
      <w:pPr>
        <w:pStyle w:val="a4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9635" w:type="dxa"/>
        <w:tblLayout w:type="fixed"/>
        <w:tblLook w:val="04A0" w:firstRow="1" w:lastRow="0" w:firstColumn="1" w:lastColumn="0" w:noHBand="0" w:noVBand="1"/>
      </w:tblPr>
      <w:tblGrid>
        <w:gridCol w:w="2689"/>
        <w:gridCol w:w="3544"/>
        <w:gridCol w:w="3402"/>
      </w:tblGrid>
      <w:tr w:rsidR="003256F0" w:rsidRPr="00F41064" w:rsidTr="00A03135">
        <w:tc>
          <w:tcPr>
            <w:tcW w:w="2689" w:type="dxa"/>
          </w:tcPr>
          <w:p w:rsidR="00CE1857" w:rsidRPr="00F41064" w:rsidRDefault="003256F0" w:rsidP="00977A01">
            <w:pPr>
              <w:spacing w:line="240" w:lineRule="auto"/>
              <w:ind w:right="-114"/>
              <w:jc w:val="center"/>
              <w:rPr>
                <w:rStyle w:val="rvts13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F41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Заінтересована</w:t>
            </w:r>
            <w:r w:rsidRPr="00F41064">
              <w:rPr>
                <w:rStyle w:val="rvts13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 </w:t>
            </w:r>
          </w:p>
          <w:p w:rsidR="003256F0" w:rsidRPr="00F41064" w:rsidRDefault="003256F0" w:rsidP="00977A01">
            <w:pPr>
              <w:spacing w:line="240" w:lineRule="auto"/>
              <w:ind w:right="-11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41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сторона</w:t>
            </w:r>
          </w:p>
        </w:tc>
        <w:tc>
          <w:tcPr>
            <w:tcW w:w="3544" w:type="dxa"/>
          </w:tcPr>
          <w:p w:rsidR="003256F0" w:rsidRPr="00F41064" w:rsidRDefault="003256F0" w:rsidP="00977A01">
            <w:pPr>
              <w:spacing w:line="240" w:lineRule="auto"/>
              <w:ind w:right="-102"/>
              <w:jc w:val="center"/>
              <w:rPr>
                <w:rStyle w:val="rvts13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F41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Вплив</w:t>
            </w:r>
            <w:r w:rsidRPr="00F41064">
              <w:rPr>
                <w:rStyle w:val="rvts13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 </w:t>
            </w:r>
            <w:r w:rsidRPr="00F41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реалізації</w:t>
            </w:r>
            <w:r w:rsidRPr="00F41064">
              <w:rPr>
                <w:rStyle w:val="rvts13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 </w:t>
            </w:r>
            <w:proofErr w:type="spellStart"/>
            <w:r w:rsidRPr="00F41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акта</w:t>
            </w:r>
            <w:proofErr w:type="spellEnd"/>
            <w:r w:rsidRPr="00F41064">
              <w:rPr>
                <w:rStyle w:val="rvts13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 </w:t>
            </w:r>
            <w:r w:rsidRPr="00F41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на</w:t>
            </w:r>
            <w:r w:rsidRPr="00F41064">
              <w:rPr>
                <w:rStyle w:val="rvts13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 </w:t>
            </w:r>
          </w:p>
          <w:p w:rsidR="003256F0" w:rsidRPr="00F41064" w:rsidRDefault="003256F0" w:rsidP="00977A01">
            <w:pPr>
              <w:spacing w:line="240" w:lineRule="auto"/>
              <w:ind w:right="3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41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заінтересовану</w:t>
            </w:r>
            <w:r w:rsidRPr="00F41064">
              <w:rPr>
                <w:rStyle w:val="rvts13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 </w:t>
            </w:r>
            <w:r w:rsidRPr="00F41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сторону</w:t>
            </w:r>
          </w:p>
        </w:tc>
        <w:tc>
          <w:tcPr>
            <w:tcW w:w="3402" w:type="dxa"/>
          </w:tcPr>
          <w:p w:rsidR="003256F0" w:rsidRPr="00F41064" w:rsidRDefault="003256F0" w:rsidP="00977A01">
            <w:pPr>
              <w:spacing w:line="240" w:lineRule="auto"/>
              <w:ind w:right="-113"/>
              <w:jc w:val="center"/>
              <w:rPr>
                <w:rStyle w:val="rvts13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F41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Пояснення</w:t>
            </w:r>
            <w:r w:rsidRPr="00F41064">
              <w:rPr>
                <w:rStyle w:val="rvts13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 </w:t>
            </w:r>
            <w:r w:rsidRPr="00F41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очікуваного</w:t>
            </w:r>
            <w:r w:rsidRPr="00F41064">
              <w:rPr>
                <w:rStyle w:val="rvts13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 </w:t>
            </w:r>
          </w:p>
          <w:p w:rsidR="003256F0" w:rsidRPr="00F41064" w:rsidRDefault="003256F0" w:rsidP="00977A01">
            <w:pPr>
              <w:spacing w:line="240" w:lineRule="auto"/>
              <w:ind w:right="4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41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впливу</w:t>
            </w:r>
          </w:p>
        </w:tc>
      </w:tr>
      <w:tr w:rsidR="003256F0" w:rsidRPr="00F41064" w:rsidTr="00A03135">
        <w:tc>
          <w:tcPr>
            <w:tcW w:w="2689" w:type="dxa"/>
          </w:tcPr>
          <w:p w:rsidR="003256F0" w:rsidRPr="00F41064" w:rsidRDefault="003256F0" w:rsidP="003768A2">
            <w:pPr>
              <w:ind w:right="45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10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Суб’єкти господарювання</w:t>
            </w:r>
          </w:p>
        </w:tc>
        <w:tc>
          <w:tcPr>
            <w:tcW w:w="3544" w:type="dxa"/>
          </w:tcPr>
          <w:p w:rsidR="003256F0" w:rsidRPr="00F41064" w:rsidRDefault="003256F0" w:rsidP="003768A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</w:pPr>
            <w:r w:rsidRPr="00F410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Забезпечення дотримання технічного стану електроенергетичних об’єктів, установок і мереж відповідно до вимог правил, та інших нормативно-правови</w:t>
            </w:r>
            <w:r w:rsidR="00F41064" w:rsidRPr="00F410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 xml:space="preserve">х актів </w:t>
            </w:r>
            <w:r w:rsidRPr="00F410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 xml:space="preserve"> у галузі електроенергетики та сфері теплопостачання.</w:t>
            </w:r>
          </w:p>
          <w:p w:rsidR="003256F0" w:rsidRPr="00F41064" w:rsidRDefault="003256F0" w:rsidP="003768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106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Зменшення та/або відсутність негативного впливу на роботу ОЕС України</w:t>
            </w:r>
          </w:p>
        </w:tc>
        <w:tc>
          <w:tcPr>
            <w:tcW w:w="3402" w:type="dxa"/>
          </w:tcPr>
          <w:p w:rsidR="003256F0" w:rsidRPr="00F41064" w:rsidRDefault="003256F0" w:rsidP="003768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10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 xml:space="preserve">Реалізація </w:t>
            </w:r>
            <w:proofErr w:type="spellStart"/>
            <w:r w:rsidRPr="00F410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акта</w:t>
            </w:r>
            <w:proofErr w:type="spellEnd"/>
            <w:r w:rsidRPr="00F410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 xml:space="preserve"> забезпечить підвищення відповідальності за дотримання законода</w:t>
            </w:r>
            <w:r w:rsidR="00F41064" w:rsidRPr="00F410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 xml:space="preserve">вства </w:t>
            </w:r>
            <w:r w:rsidRPr="00F410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 xml:space="preserve"> в частині технічної експлуатації </w:t>
            </w:r>
            <w:proofErr w:type="spellStart"/>
            <w:r w:rsidRPr="00F410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енергообладнання</w:t>
            </w:r>
            <w:proofErr w:type="spellEnd"/>
            <w:r w:rsidRPr="00F410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 xml:space="preserve"> та мереж у галузях електроенергетики та теплопостачання. Створить прозорі та зрозумілі процедури державного енергетичного нагляду</w:t>
            </w:r>
          </w:p>
        </w:tc>
      </w:tr>
    </w:tbl>
    <w:p w:rsidR="00A662F3" w:rsidRPr="00F41064" w:rsidRDefault="00A662F3" w:rsidP="00AF2555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A662F3" w:rsidRPr="00F41064" w:rsidRDefault="00A662F3" w:rsidP="00A662F3">
      <w:pPr>
        <w:widowControl w:val="0"/>
        <w:spacing w:after="0" w:line="264" w:lineRule="auto"/>
        <w:ind w:firstLine="567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p w:rsidR="00A662F3" w:rsidRPr="00F41064" w:rsidRDefault="00482AD1" w:rsidP="00482AD1">
      <w:pPr>
        <w:spacing w:after="0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proofErr w:type="spellStart"/>
      <w:r w:rsidRPr="00F41064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Т.в.о</w:t>
      </w:r>
      <w:proofErr w:type="spellEnd"/>
      <w:r w:rsidRPr="00F41064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.  Голови Державної інспекції</w:t>
      </w:r>
    </w:p>
    <w:p w:rsidR="0070138F" w:rsidRDefault="00482AD1" w:rsidP="00395A52">
      <w:pPr>
        <w:spacing w:after="0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F41064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енергетичного нагляду України</w:t>
      </w:r>
      <w:r w:rsidRPr="00F41064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ab/>
      </w:r>
      <w:r w:rsidRPr="00F41064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ab/>
      </w:r>
      <w:r w:rsidRPr="00F41064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ab/>
      </w:r>
      <w:r w:rsidRPr="00F41064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ab/>
        <w:t xml:space="preserve">   </w:t>
      </w:r>
      <w:r w:rsidR="00DE6485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        </w:t>
      </w:r>
      <w:r w:rsidRPr="00F41064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Роман БОДНАР</w:t>
      </w:r>
    </w:p>
    <w:p w:rsidR="00395A52" w:rsidRPr="00395A52" w:rsidRDefault="00395A52" w:rsidP="00395A52">
      <w:pPr>
        <w:spacing w:after="0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p w:rsidR="00395A52" w:rsidRPr="00F41064" w:rsidRDefault="00395A52">
      <w:pPr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«____» ______________ 2021 року</w:t>
      </w:r>
    </w:p>
    <w:sectPr w:rsidR="00395A52" w:rsidRPr="00F41064" w:rsidSect="00395A52">
      <w:headerReference w:type="default" r:id="rId10"/>
      <w:pgSz w:w="11906" w:h="16838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326" w:rsidRDefault="008B5326">
      <w:pPr>
        <w:spacing w:after="0" w:line="240" w:lineRule="auto"/>
      </w:pPr>
      <w:r>
        <w:separator/>
      </w:r>
    </w:p>
  </w:endnote>
  <w:endnote w:type="continuationSeparator" w:id="0">
    <w:p w:rsidR="008B5326" w:rsidRDefault="008B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326" w:rsidRDefault="008B5326">
      <w:pPr>
        <w:spacing w:after="0" w:line="240" w:lineRule="auto"/>
      </w:pPr>
      <w:r>
        <w:separator/>
      </w:r>
    </w:p>
  </w:footnote>
  <w:footnote w:type="continuationSeparator" w:id="0">
    <w:p w:rsidR="008B5326" w:rsidRDefault="008B5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22065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004D0" w:rsidRPr="000350E0" w:rsidRDefault="0043188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350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0191A" w:rsidRPr="000350E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350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350E0" w:rsidRPr="000350E0">
          <w:rPr>
            <w:rFonts w:ascii="Times New Roman" w:hAnsi="Times New Roman" w:cs="Times New Roman"/>
            <w:noProof/>
            <w:sz w:val="28"/>
            <w:szCs w:val="28"/>
            <w:lang w:val="uk-UA"/>
          </w:rPr>
          <w:t>4</w:t>
        </w:r>
        <w:r w:rsidRPr="000350E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04D0" w:rsidRDefault="000350E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76C92"/>
    <w:multiLevelType w:val="hybridMultilevel"/>
    <w:tmpl w:val="BB18392A"/>
    <w:lvl w:ilvl="0" w:tplc="028AE3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4062B89"/>
    <w:multiLevelType w:val="hybridMultilevel"/>
    <w:tmpl w:val="DFE02976"/>
    <w:lvl w:ilvl="0" w:tplc="0F72F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C154F7B"/>
    <w:multiLevelType w:val="hybridMultilevel"/>
    <w:tmpl w:val="08A29E30"/>
    <w:lvl w:ilvl="0" w:tplc="9C5E6C0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F3"/>
    <w:rsid w:val="000350E0"/>
    <w:rsid w:val="000E073B"/>
    <w:rsid w:val="001C7C91"/>
    <w:rsid w:val="001D2254"/>
    <w:rsid w:val="001D2ADE"/>
    <w:rsid w:val="001D5060"/>
    <w:rsid w:val="00205056"/>
    <w:rsid w:val="00220632"/>
    <w:rsid w:val="00221B79"/>
    <w:rsid w:val="0028644E"/>
    <w:rsid w:val="002C450A"/>
    <w:rsid w:val="003256F0"/>
    <w:rsid w:val="003464C3"/>
    <w:rsid w:val="00387B46"/>
    <w:rsid w:val="00395A52"/>
    <w:rsid w:val="00431880"/>
    <w:rsid w:val="00432546"/>
    <w:rsid w:val="00482AD1"/>
    <w:rsid w:val="004C52FD"/>
    <w:rsid w:val="005D7AD1"/>
    <w:rsid w:val="006D184F"/>
    <w:rsid w:val="0070138F"/>
    <w:rsid w:val="007173D0"/>
    <w:rsid w:val="0080191A"/>
    <w:rsid w:val="00864AFE"/>
    <w:rsid w:val="008B5326"/>
    <w:rsid w:val="008D4FCB"/>
    <w:rsid w:val="008F70AE"/>
    <w:rsid w:val="0095131A"/>
    <w:rsid w:val="00964933"/>
    <w:rsid w:val="00972E87"/>
    <w:rsid w:val="00977A01"/>
    <w:rsid w:val="00A03135"/>
    <w:rsid w:val="00A36B57"/>
    <w:rsid w:val="00A662F3"/>
    <w:rsid w:val="00AF2555"/>
    <w:rsid w:val="00AF3862"/>
    <w:rsid w:val="00B26AC7"/>
    <w:rsid w:val="00BA3166"/>
    <w:rsid w:val="00BC2EEA"/>
    <w:rsid w:val="00C113BE"/>
    <w:rsid w:val="00C71D8F"/>
    <w:rsid w:val="00C86DB6"/>
    <w:rsid w:val="00C964FB"/>
    <w:rsid w:val="00CE1857"/>
    <w:rsid w:val="00D422E8"/>
    <w:rsid w:val="00D42796"/>
    <w:rsid w:val="00D43446"/>
    <w:rsid w:val="00DE6485"/>
    <w:rsid w:val="00E0670B"/>
    <w:rsid w:val="00E07B89"/>
    <w:rsid w:val="00E3040B"/>
    <w:rsid w:val="00E4250C"/>
    <w:rsid w:val="00E601B9"/>
    <w:rsid w:val="00EA25FC"/>
    <w:rsid w:val="00F41064"/>
    <w:rsid w:val="00FF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22733"/>
  <w15:docId w15:val="{14DDB3CC-A180-49FD-8D82-94FCD022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2F3"/>
    <w:pPr>
      <w:spacing w:after="160" w:line="259" w:lineRule="auto"/>
    </w:pPr>
    <w:rPr>
      <w:rFonts w:ascii="Calibri" w:eastAsia="Calibri" w:hAnsi="Calibri" w:cs="Calibri"/>
      <w:lang w:val="en-US" w:eastAsia="uk-UA"/>
    </w:rPr>
  </w:style>
  <w:style w:type="paragraph" w:styleId="1">
    <w:name w:val="heading 1"/>
    <w:basedOn w:val="a"/>
    <w:next w:val="a"/>
    <w:link w:val="10"/>
    <w:rsid w:val="00A662F3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62F3"/>
    <w:rPr>
      <w:rFonts w:ascii="Calibri" w:eastAsia="Calibri" w:hAnsi="Calibri" w:cs="Calibri"/>
      <w:b/>
      <w:sz w:val="48"/>
      <w:szCs w:val="48"/>
      <w:lang w:val="en-US" w:eastAsia="uk-UA"/>
    </w:rPr>
  </w:style>
  <w:style w:type="paragraph" w:styleId="a3">
    <w:name w:val="No Spacing"/>
    <w:uiPriority w:val="1"/>
    <w:qFormat/>
    <w:rsid w:val="00A662F3"/>
    <w:pPr>
      <w:spacing w:after="0" w:line="240" w:lineRule="auto"/>
    </w:pPr>
    <w:rPr>
      <w:rFonts w:ascii="Calibri" w:eastAsia="Calibri" w:hAnsi="Calibri" w:cs="Calibri"/>
      <w:lang w:val="en-US" w:eastAsia="uk-UA"/>
    </w:rPr>
  </w:style>
  <w:style w:type="paragraph" w:customStyle="1" w:styleId="rvps2">
    <w:name w:val="rvps2"/>
    <w:basedOn w:val="a"/>
    <w:rsid w:val="00A6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99"/>
    <w:qFormat/>
    <w:rsid w:val="00A662F3"/>
    <w:pPr>
      <w:ind w:left="720"/>
      <w:contextualSpacing/>
    </w:pPr>
    <w:rPr>
      <w:rFonts w:cs="Times New Roman"/>
      <w:lang w:val="uk-UA"/>
    </w:rPr>
  </w:style>
  <w:style w:type="character" w:customStyle="1" w:styleId="rvts9">
    <w:name w:val="rvts9"/>
    <w:basedOn w:val="a0"/>
    <w:uiPriority w:val="99"/>
    <w:rsid w:val="00A662F3"/>
  </w:style>
  <w:style w:type="character" w:customStyle="1" w:styleId="rvts96">
    <w:name w:val="rvts96"/>
    <w:uiPriority w:val="99"/>
    <w:rsid w:val="00A662F3"/>
  </w:style>
  <w:style w:type="character" w:customStyle="1" w:styleId="rvts23">
    <w:name w:val="rvts23"/>
    <w:basedOn w:val="a0"/>
    <w:rsid w:val="00A662F3"/>
  </w:style>
  <w:style w:type="paragraph" w:styleId="a5">
    <w:name w:val="header"/>
    <w:basedOn w:val="a"/>
    <w:link w:val="a6"/>
    <w:uiPriority w:val="99"/>
    <w:unhideWhenUsed/>
    <w:rsid w:val="00A662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662F3"/>
    <w:rPr>
      <w:rFonts w:ascii="Calibri" w:eastAsia="Calibri" w:hAnsi="Calibri" w:cs="Calibri"/>
      <w:lang w:val="en-US" w:eastAsia="uk-UA"/>
    </w:rPr>
  </w:style>
  <w:style w:type="character" w:styleId="a7">
    <w:name w:val="Hyperlink"/>
    <w:basedOn w:val="a0"/>
    <w:uiPriority w:val="99"/>
    <w:semiHidden/>
    <w:unhideWhenUsed/>
    <w:rsid w:val="0095131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F2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F2555"/>
    <w:rPr>
      <w:rFonts w:ascii="Segoe UI" w:eastAsia="Calibri" w:hAnsi="Segoe UI" w:cs="Segoe UI"/>
      <w:sz w:val="18"/>
      <w:szCs w:val="18"/>
      <w:lang w:val="en-US" w:eastAsia="uk-UA"/>
    </w:rPr>
  </w:style>
  <w:style w:type="table" w:styleId="aa">
    <w:name w:val="Table Grid"/>
    <w:basedOn w:val="a1"/>
    <w:uiPriority w:val="99"/>
    <w:rsid w:val="00325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3">
    <w:name w:val="rvts13"/>
    <w:rsid w:val="003256F0"/>
  </w:style>
  <w:style w:type="paragraph" w:styleId="ab">
    <w:name w:val="footer"/>
    <w:basedOn w:val="a"/>
    <w:link w:val="ac"/>
    <w:uiPriority w:val="99"/>
    <w:unhideWhenUsed/>
    <w:rsid w:val="000350E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0350E0"/>
    <w:rPr>
      <w:rFonts w:ascii="Calibri" w:eastAsia="Calibri" w:hAnsi="Calibri" w:cs="Calibri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3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D48285-B38B-403D-A7A3-F6A9D4F33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AEAA72-35B3-4E6D-935B-FD7B01A686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D19DF2-C307-4297-88FD-1B238FF595E1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4080153-28b6-45f6-b1c8-49842029d76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5659</Words>
  <Characters>3227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 Павло Петрович</dc:creator>
  <cp:lastModifiedBy>User</cp:lastModifiedBy>
  <cp:revision>3</cp:revision>
  <dcterms:created xsi:type="dcterms:W3CDTF">2021-04-22T12:59:00Z</dcterms:created>
  <dcterms:modified xsi:type="dcterms:W3CDTF">2021-04-22T13:03:00Z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