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98D4FA6" w:rsidR="00B76D1B" w:rsidRPr="00B76D1B" w:rsidRDefault="007B50C5" w:rsidP="005B47BE">
      <w:pPr>
        <w:spacing w:line="240" w:lineRule="auto"/>
        <w:ind w:left="4320"/>
        <w:rPr>
          <w:b/>
          <w:szCs w:val="28"/>
        </w:rPr>
      </w:pPr>
      <w:r w:rsidRPr="007B50C5">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145CD296"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46567D" w:rsidRPr="0046567D">
        <w:rPr>
          <w:b/>
          <w:szCs w:val="28"/>
        </w:rPr>
        <w:t xml:space="preserve">відділу організаційної роботи, планування та звітності Управління </w:t>
      </w:r>
      <w:proofErr w:type="spellStart"/>
      <w:r w:rsidR="0046567D" w:rsidRPr="0046567D">
        <w:rPr>
          <w:b/>
          <w:szCs w:val="28"/>
        </w:rPr>
        <w:t>Держенергонагляду</w:t>
      </w:r>
      <w:proofErr w:type="spellEnd"/>
      <w:r w:rsidR="0046567D" w:rsidRPr="0046567D">
        <w:rPr>
          <w:b/>
          <w:szCs w:val="28"/>
        </w:rPr>
        <w:t xml:space="preserve"> у Київській області</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75563702"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134F32" w:rsidRPr="00134F32">
              <w:rPr>
                <w:sz w:val="24"/>
                <w:szCs w:val="24"/>
              </w:rPr>
              <w:t xml:space="preserve">відділу організаційної роботи, планування та звітності Управління </w:t>
            </w:r>
            <w:proofErr w:type="spellStart"/>
            <w:r w:rsidR="00134F32" w:rsidRPr="00134F32">
              <w:rPr>
                <w:sz w:val="24"/>
                <w:szCs w:val="24"/>
              </w:rPr>
              <w:t>Держенергонагляду</w:t>
            </w:r>
            <w:proofErr w:type="spellEnd"/>
            <w:r w:rsidR="00134F32" w:rsidRPr="00134F32">
              <w:rPr>
                <w:sz w:val="24"/>
                <w:szCs w:val="24"/>
              </w:rPr>
              <w:t xml:space="preserve"> у Київській області</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497051">
            <w:pPr>
              <w:pStyle w:val="af2"/>
              <w:numPr>
                <w:ilvl w:val="0"/>
                <w:numId w:val="6"/>
              </w:numPr>
              <w:spacing w:before="0" w:beforeAutospacing="0" w:after="0" w:afterAutospacing="0"/>
              <w:ind w:left="0" w:right="13" w:firstLine="0"/>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497051">
            <w:pPr>
              <w:pStyle w:val="af2"/>
              <w:numPr>
                <w:ilvl w:val="0"/>
                <w:numId w:val="6"/>
              </w:numPr>
              <w:spacing w:before="0" w:beforeAutospacing="0" w:after="0" w:afterAutospacing="0"/>
              <w:ind w:left="0" w:right="13" w:firstLine="0"/>
              <w:jc w:val="both"/>
              <w:rPr>
                <w:lang w:val="uk-UA"/>
              </w:rPr>
            </w:pPr>
            <w:r w:rsidRPr="00B54403">
              <w:rPr>
                <w:lang w:val="uk-UA"/>
              </w:rPr>
              <w:t>виконання суб’єктами господарювання розпорядчих документів;</w:t>
            </w:r>
          </w:p>
          <w:p w14:paraId="48D1091B" w14:textId="156625F6" w:rsidR="005447C9" w:rsidRPr="00B54403" w:rsidRDefault="005447C9" w:rsidP="00497051">
            <w:pPr>
              <w:pStyle w:val="af2"/>
              <w:numPr>
                <w:ilvl w:val="0"/>
                <w:numId w:val="6"/>
              </w:numPr>
              <w:spacing w:before="0" w:beforeAutospacing="0" w:after="0" w:afterAutospacing="0"/>
              <w:ind w:left="0" w:right="13" w:firstLine="0"/>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3EF98A5E"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FC50D1">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938B" w14:textId="77777777" w:rsidR="006716D6" w:rsidRDefault="006716D6">
      <w:r>
        <w:separator/>
      </w:r>
    </w:p>
  </w:endnote>
  <w:endnote w:type="continuationSeparator" w:id="0">
    <w:p w14:paraId="1C886492" w14:textId="77777777" w:rsidR="006716D6" w:rsidRDefault="006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CB6D" w14:textId="77777777" w:rsidR="006716D6" w:rsidRDefault="006716D6">
      <w:r>
        <w:separator/>
      </w:r>
    </w:p>
  </w:footnote>
  <w:footnote w:type="continuationSeparator" w:id="0">
    <w:p w14:paraId="694804EC" w14:textId="77777777" w:rsidR="006716D6" w:rsidRDefault="0067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9076CC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B50C5">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34F32"/>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6567D"/>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6581"/>
    <w:rsid w:val="00617106"/>
    <w:rsid w:val="0062522E"/>
    <w:rsid w:val="006306C6"/>
    <w:rsid w:val="00635615"/>
    <w:rsid w:val="0064641C"/>
    <w:rsid w:val="00650846"/>
    <w:rsid w:val="006648F4"/>
    <w:rsid w:val="006716D6"/>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B50C5"/>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9F23E4"/>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61D9"/>
    <w:rsid w:val="00E07244"/>
    <w:rsid w:val="00E111B5"/>
    <w:rsid w:val="00E261F1"/>
    <w:rsid w:val="00E3545B"/>
    <w:rsid w:val="00E47850"/>
    <w:rsid w:val="00E56CA2"/>
    <w:rsid w:val="00E6694E"/>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0D1"/>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05BF-3983-41B6-BC30-04D68D7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4662</Words>
  <Characters>2658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56</cp:revision>
  <cp:lastPrinted>2020-07-30T07:40:00Z</cp:lastPrinted>
  <dcterms:created xsi:type="dcterms:W3CDTF">2020-07-30T11:02:00Z</dcterms:created>
  <dcterms:modified xsi:type="dcterms:W3CDTF">2020-09-28T10:06:00Z</dcterms:modified>
</cp:coreProperties>
</file>