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C5DF3" w14:textId="77777777" w:rsidR="007F2F9F" w:rsidRPr="00C528D2" w:rsidRDefault="007F2F9F" w:rsidP="007F2F9F">
      <w:pPr>
        <w:spacing w:line="240" w:lineRule="auto"/>
        <w:ind w:left="4320"/>
        <w:jc w:val="left"/>
        <w:rPr>
          <w:szCs w:val="28"/>
        </w:rPr>
      </w:pPr>
      <w:r w:rsidRPr="00C528D2">
        <w:rPr>
          <w:szCs w:val="28"/>
        </w:rPr>
        <w:t>ЗАТВЕРДЖЕНО</w:t>
      </w:r>
    </w:p>
    <w:p w14:paraId="13ED033B" w14:textId="77777777" w:rsidR="007F2F9F" w:rsidRPr="00C528D2" w:rsidRDefault="007F2F9F" w:rsidP="007F2F9F">
      <w:pPr>
        <w:spacing w:line="240" w:lineRule="auto"/>
        <w:ind w:left="4320"/>
        <w:jc w:val="left"/>
        <w:rPr>
          <w:szCs w:val="28"/>
        </w:rPr>
      </w:pPr>
      <w:r w:rsidRPr="00C528D2">
        <w:rPr>
          <w:szCs w:val="28"/>
        </w:rPr>
        <w:t xml:space="preserve">Наказ Державної інспекції </w:t>
      </w:r>
    </w:p>
    <w:p w14:paraId="06A19AA5" w14:textId="77777777" w:rsidR="007F2F9F" w:rsidRPr="00C528D2" w:rsidRDefault="007F2F9F" w:rsidP="007F2F9F">
      <w:pPr>
        <w:spacing w:line="240" w:lineRule="auto"/>
        <w:ind w:left="4320"/>
        <w:jc w:val="left"/>
        <w:rPr>
          <w:szCs w:val="28"/>
        </w:rPr>
      </w:pPr>
      <w:r w:rsidRPr="00C528D2">
        <w:rPr>
          <w:szCs w:val="28"/>
        </w:rPr>
        <w:t xml:space="preserve">енергетичного нагляду України </w:t>
      </w:r>
    </w:p>
    <w:p w14:paraId="00B665DD" w14:textId="77777777" w:rsidR="007F2F9F" w:rsidRPr="004F1D7C" w:rsidRDefault="007F2F9F" w:rsidP="007F2F9F">
      <w:pPr>
        <w:spacing w:line="240" w:lineRule="auto"/>
        <w:ind w:left="4320"/>
        <w:rPr>
          <w:b/>
          <w:szCs w:val="28"/>
          <w:lang w:val="ru-RU"/>
        </w:rPr>
      </w:pPr>
      <w:r w:rsidRPr="00823B3E">
        <w:rPr>
          <w:szCs w:val="28"/>
        </w:rPr>
        <w:t>«</w:t>
      </w:r>
      <w:r>
        <w:rPr>
          <w:szCs w:val="28"/>
          <w:lang w:val="ru-RU"/>
        </w:rPr>
        <w:t>26</w:t>
      </w:r>
      <w:r w:rsidRPr="00823B3E">
        <w:rPr>
          <w:szCs w:val="28"/>
        </w:rPr>
        <w:t xml:space="preserve">» жовтня 2020 року № </w:t>
      </w:r>
      <w:r>
        <w:rPr>
          <w:szCs w:val="28"/>
          <w:lang w:val="ru-RU"/>
        </w:rPr>
        <w:t>234</w:t>
      </w:r>
    </w:p>
    <w:p w14:paraId="2C6CB078" w14:textId="77777777" w:rsidR="00B76D1B" w:rsidRPr="00C528D2" w:rsidRDefault="00B76D1B" w:rsidP="00B76D1B">
      <w:pPr>
        <w:spacing w:line="240" w:lineRule="auto"/>
        <w:jc w:val="center"/>
        <w:rPr>
          <w:b/>
          <w:szCs w:val="28"/>
        </w:rPr>
      </w:pPr>
      <w:bookmarkStart w:id="0" w:name="_GoBack"/>
      <w:bookmarkEnd w:id="0"/>
    </w:p>
    <w:p w14:paraId="60BAB6E5" w14:textId="77777777" w:rsidR="00B76D1B" w:rsidRPr="00C528D2" w:rsidRDefault="00B76D1B" w:rsidP="004F1D7C">
      <w:pPr>
        <w:spacing w:line="240" w:lineRule="auto"/>
        <w:ind w:firstLine="0"/>
        <w:jc w:val="center"/>
        <w:rPr>
          <w:b/>
          <w:szCs w:val="28"/>
        </w:rPr>
      </w:pPr>
      <w:r w:rsidRPr="00C528D2">
        <w:rPr>
          <w:b/>
          <w:szCs w:val="28"/>
        </w:rPr>
        <w:t>ОГОЛОШЕННЯ</w:t>
      </w:r>
    </w:p>
    <w:p w14:paraId="76075E15" w14:textId="77777777" w:rsidR="00B76D1B" w:rsidRPr="00515D04" w:rsidRDefault="00B76D1B" w:rsidP="004F1D7C">
      <w:pPr>
        <w:spacing w:line="240" w:lineRule="auto"/>
        <w:ind w:firstLine="0"/>
        <w:jc w:val="center"/>
        <w:rPr>
          <w:b/>
          <w:szCs w:val="28"/>
        </w:rPr>
      </w:pPr>
      <w:r w:rsidRPr="00C528D2">
        <w:rPr>
          <w:b/>
          <w:szCs w:val="28"/>
        </w:rPr>
        <w:t xml:space="preserve"> </w:t>
      </w:r>
      <w:r w:rsidRPr="00515D04">
        <w:rPr>
          <w:b/>
          <w:szCs w:val="28"/>
        </w:rPr>
        <w:t xml:space="preserve">про проведення добору з призначення </w:t>
      </w:r>
    </w:p>
    <w:p w14:paraId="5A75F92F" w14:textId="278E56E8" w:rsidR="005663A5" w:rsidRDefault="00B76D1B" w:rsidP="004F1D7C">
      <w:pPr>
        <w:spacing w:line="240" w:lineRule="auto"/>
        <w:ind w:firstLine="0"/>
        <w:jc w:val="center"/>
        <w:rPr>
          <w:szCs w:val="28"/>
        </w:rPr>
      </w:pPr>
      <w:r w:rsidRPr="00515D04">
        <w:rPr>
          <w:b/>
          <w:szCs w:val="28"/>
        </w:rPr>
        <w:t xml:space="preserve">на вакантну </w:t>
      </w:r>
      <w:r w:rsidR="00FB3D63" w:rsidRPr="00515D04">
        <w:rPr>
          <w:b/>
          <w:szCs w:val="28"/>
        </w:rPr>
        <w:t>посаду категорії «Б</w:t>
      </w:r>
      <w:r w:rsidRPr="00515D04">
        <w:rPr>
          <w:b/>
          <w:szCs w:val="28"/>
        </w:rPr>
        <w:t xml:space="preserve">» </w:t>
      </w:r>
      <w:r w:rsidRPr="004F1D7C">
        <w:rPr>
          <w:b/>
          <w:szCs w:val="28"/>
        </w:rPr>
        <w:t xml:space="preserve">- </w:t>
      </w:r>
      <w:proofErr w:type="spellStart"/>
      <w:r w:rsidR="00F836F7">
        <w:rPr>
          <w:b/>
          <w:szCs w:val="28"/>
          <w:lang w:val="ru-RU"/>
        </w:rPr>
        <w:t>з</w:t>
      </w:r>
      <w:r w:rsidR="00F836F7" w:rsidRPr="00F836F7">
        <w:rPr>
          <w:b/>
          <w:szCs w:val="28"/>
          <w:lang w:val="ru-RU"/>
        </w:rPr>
        <w:t>авідувач</w:t>
      </w:r>
      <w:r w:rsidR="00F836F7">
        <w:rPr>
          <w:b/>
          <w:szCs w:val="28"/>
          <w:lang w:val="ru-RU"/>
        </w:rPr>
        <w:t>а</w:t>
      </w:r>
      <w:proofErr w:type="spellEnd"/>
      <w:r w:rsidR="00F836F7" w:rsidRPr="00F836F7">
        <w:rPr>
          <w:b/>
          <w:szCs w:val="28"/>
          <w:lang w:val="ru-RU"/>
        </w:rPr>
        <w:t xml:space="preserve"> сектору </w:t>
      </w:r>
      <w:proofErr w:type="spellStart"/>
      <w:r w:rsidR="00F836F7" w:rsidRPr="00F836F7">
        <w:rPr>
          <w:b/>
          <w:szCs w:val="28"/>
          <w:lang w:val="ru-RU"/>
        </w:rPr>
        <w:t>організаційної</w:t>
      </w:r>
      <w:proofErr w:type="spellEnd"/>
      <w:r w:rsidR="00F836F7" w:rsidRPr="00F836F7">
        <w:rPr>
          <w:b/>
          <w:szCs w:val="28"/>
          <w:lang w:val="ru-RU"/>
        </w:rPr>
        <w:t xml:space="preserve"> </w:t>
      </w:r>
      <w:proofErr w:type="spellStart"/>
      <w:r w:rsidR="00F836F7" w:rsidRPr="00F836F7">
        <w:rPr>
          <w:b/>
          <w:szCs w:val="28"/>
          <w:lang w:val="ru-RU"/>
        </w:rPr>
        <w:t>роботи</w:t>
      </w:r>
      <w:proofErr w:type="spellEnd"/>
      <w:r w:rsidR="00F836F7" w:rsidRPr="00F836F7">
        <w:rPr>
          <w:b/>
          <w:szCs w:val="28"/>
          <w:lang w:val="ru-RU"/>
        </w:rPr>
        <w:t xml:space="preserve">, </w:t>
      </w:r>
      <w:proofErr w:type="spellStart"/>
      <w:r w:rsidR="00F836F7" w:rsidRPr="00F836F7">
        <w:rPr>
          <w:b/>
          <w:szCs w:val="28"/>
          <w:lang w:val="ru-RU"/>
        </w:rPr>
        <w:t>планування</w:t>
      </w:r>
      <w:proofErr w:type="spellEnd"/>
      <w:r w:rsidR="00F836F7" w:rsidRPr="00F836F7">
        <w:rPr>
          <w:b/>
          <w:szCs w:val="28"/>
          <w:lang w:val="ru-RU"/>
        </w:rPr>
        <w:t xml:space="preserve"> та </w:t>
      </w:r>
      <w:proofErr w:type="spellStart"/>
      <w:r w:rsidR="00F836F7" w:rsidRPr="00F836F7">
        <w:rPr>
          <w:b/>
          <w:szCs w:val="28"/>
          <w:lang w:val="ru-RU"/>
        </w:rPr>
        <w:t>звітності</w:t>
      </w:r>
      <w:proofErr w:type="spellEnd"/>
      <w:r w:rsidR="00F836F7" w:rsidRPr="00F836F7">
        <w:rPr>
          <w:b/>
          <w:szCs w:val="28"/>
          <w:lang w:val="ru-RU"/>
        </w:rPr>
        <w:t xml:space="preserve">  - головн</w:t>
      </w:r>
      <w:r w:rsidR="00F836F7">
        <w:rPr>
          <w:b/>
          <w:szCs w:val="28"/>
          <w:lang w:val="ru-RU"/>
        </w:rPr>
        <w:t>ого</w:t>
      </w:r>
      <w:r w:rsidR="00F836F7" w:rsidRPr="00F836F7">
        <w:rPr>
          <w:b/>
          <w:szCs w:val="28"/>
          <w:lang w:val="ru-RU"/>
        </w:rPr>
        <w:t xml:space="preserve"> державн</w:t>
      </w:r>
      <w:r w:rsidR="00F836F7">
        <w:rPr>
          <w:b/>
          <w:szCs w:val="28"/>
          <w:lang w:val="ru-RU"/>
        </w:rPr>
        <w:t>ого</w:t>
      </w:r>
      <w:r w:rsidR="00F836F7" w:rsidRPr="00F836F7">
        <w:rPr>
          <w:b/>
          <w:szCs w:val="28"/>
          <w:lang w:val="ru-RU"/>
        </w:rPr>
        <w:t xml:space="preserve"> </w:t>
      </w:r>
      <w:proofErr w:type="spellStart"/>
      <w:r w:rsidR="00F836F7" w:rsidRPr="00F836F7">
        <w:rPr>
          <w:b/>
          <w:szCs w:val="28"/>
          <w:lang w:val="ru-RU"/>
        </w:rPr>
        <w:t>інспектор</w:t>
      </w:r>
      <w:r w:rsidR="00F836F7">
        <w:rPr>
          <w:b/>
          <w:szCs w:val="28"/>
          <w:lang w:val="ru-RU"/>
        </w:rPr>
        <w:t>а</w:t>
      </w:r>
      <w:proofErr w:type="spellEnd"/>
      <w:r w:rsidR="00F836F7" w:rsidRPr="00F836F7">
        <w:rPr>
          <w:b/>
          <w:szCs w:val="28"/>
          <w:lang w:val="ru-RU"/>
        </w:rPr>
        <w:t xml:space="preserve"> з </w:t>
      </w:r>
      <w:proofErr w:type="spellStart"/>
      <w:r w:rsidR="00F836F7" w:rsidRPr="00F836F7">
        <w:rPr>
          <w:b/>
          <w:szCs w:val="28"/>
          <w:lang w:val="ru-RU"/>
        </w:rPr>
        <w:t>енергетичного</w:t>
      </w:r>
      <w:proofErr w:type="spellEnd"/>
      <w:r w:rsidR="00F836F7" w:rsidRPr="00F836F7">
        <w:rPr>
          <w:b/>
          <w:szCs w:val="28"/>
          <w:lang w:val="ru-RU"/>
        </w:rPr>
        <w:t xml:space="preserve"> </w:t>
      </w:r>
      <w:proofErr w:type="spellStart"/>
      <w:r w:rsidR="00F836F7" w:rsidRPr="00F836F7">
        <w:rPr>
          <w:b/>
          <w:szCs w:val="28"/>
          <w:lang w:val="ru-RU"/>
        </w:rPr>
        <w:t>нагляду</w:t>
      </w:r>
      <w:proofErr w:type="spellEnd"/>
      <w:r w:rsidR="00F836F7" w:rsidRPr="00F836F7">
        <w:rPr>
          <w:b/>
          <w:szCs w:val="28"/>
          <w:lang w:val="ru-RU"/>
        </w:rPr>
        <w:t xml:space="preserve"> </w:t>
      </w:r>
      <w:proofErr w:type="spellStart"/>
      <w:r w:rsidR="00F836F7" w:rsidRPr="00F836F7">
        <w:rPr>
          <w:b/>
          <w:szCs w:val="28"/>
          <w:lang w:val="ru-RU"/>
        </w:rPr>
        <w:t>відділу</w:t>
      </w:r>
      <w:proofErr w:type="spellEnd"/>
      <w:r w:rsidR="00F836F7" w:rsidRPr="00F836F7">
        <w:rPr>
          <w:b/>
          <w:szCs w:val="28"/>
          <w:lang w:val="ru-RU"/>
        </w:rPr>
        <w:t xml:space="preserve"> </w:t>
      </w:r>
      <w:proofErr w:type="spellStart"/>
      <w:r w:rsidR="00F836F7" w:rsidRPr="00F836F7">
        <w:rPr>
          <w:b/>
          <w:szCs w:val="28"/>
          <w:lang w:val="ru-RU"/>
        </w:rPr>
        <w:t>нагляду</w:t>
      </w:r>
      <w:proofErr w:type="spellEnd"/>
      <w:r w:rsidR="00F836F7" w:rsidRPr="00F836F7">
        <w:rPr>
          <w:b/>
          <w:szCs w:val="28"/>
          <w:lang w:val="ru-RU"/>
        </w:rPr>
        <w:t xml:space="preserve"> по Центральному </w:t>
      </w:r>
      <w:proofErr w:type="spellStart"/>
      <w:r w:rsidR="00F836F7" w:rsidRPr="00F836F7">
        <w:rPr>
          <w:b/>
          <w:szCs w:val="28"/>
          <w:lang w:val="ru-RU"/>
        </w:rPr>
        <w:t>регіону</w:t>
      </w:r>
      <w:proofErr w:type="spellEnd"/>
      <w:r w:rsidR="00F836F7" w:rsidRPr="00F836F7">
        <w:rPr>
          <w:b/>
          <w:szCs w:val="28"/>
          <w:lang w:val="ru-RU"/>
        </w:rPr>
        <w:t xml:space="preserve"> </w:t>
      </w:r>
      <w:proofErr w:type="spellStart"/>
      <w:r w:rsidR="00F836F7" w:rsidRPr="00F836F7">
        <w:rPr>
          <w:b/>
          <w:szCs w:val="28"/>
          <w:lang w:val="ru-RU"/>
        </w:rPr>
        <w:t>управління</w:t>
      </w:r>
      <w:proofErr w:type="spellEnd"/>
      <w:r w:rsidR="00F836F7" w:rsidRPr="00F836F7">
        <w:rPr>
          <w:b/>
          <w:szCs w:val="28"/>
          <w:lang w:val="ru-RU"/>
        </w:rPr>
        <w:t xml:space="preserve"> </w:t>
      </w:r>
      <w:proofErr w:type="spellStart"/>
      <w:r w:rsidR="00F836F7" w:rsidRPr="00F836F7">
        <w:rPr>
          <w:b/>
          <w:szCs w:val="28"/>
          <w:lang w:val="ru-RU"/>
        </w:rPr>
        <w:t>нагляду</w:t>
      </w:r>
      <w:proofErr w:type="spellEnd"/>
      <w:r w:rsidR="00F836F7" w:rsidRPr="00F836F7">
        <w:rPr>
          <w:b/>
          <w:szCs w:val="28"/>
          <w:lang w:val="ru-RU"/>
        </w:rPr>
        <w:t xml:space="preserve"> за </w:t>
      </w:r>
      <w:proofErr w:type="spellStart"/>
      <w:r w:rsidR="00F836F7" w:rsidRPr="00F836F7">
        <w:rPr>
          <w:b/>
          <w:szCs w:val="28"/>
          <w:lang w:val="ru-RU"/>
        </w:rPr>
        <w:t>електроенергетичним</w:t>
      </w:r>
      <w:proofErr w:type="spellEnd"/>
      <w:r w:rsidR="00F836F7" w:rsidRPr="00F836F7">
        <w:rPr>
          <w:b/>
          <w:szCs w:val="28"/>
          <w:lang w:val="ru-RU"/>
        </w:rPr>
        <w:t xml:space="preserve"> </w:t>
      </w:r>
      <w:proofErr w:type="spellStart"/>
      <w:r w:rsidR="00F836F7" w:rsidRPr="00F836F7">
        <w:rPr>
          <w:b/>
          <w:szCs w:val="28"/>
          <w:lang w:val="ru-RU"/>
        </w:rPr>
        <w:t>обладнанням</w:t>
      </w:r>
      <w:proofErr w:type="spellEnd"/>
      <w:r w:rsidR="00F836F7" w:rsidRPr="00F836F7">
        <w:rPr>
          <w:b/>
          <w:szCs w:val="28"/>
          <w:lang w:val="ru-RU"/>
        </w:rPr>
        <w:t xml:space="preserve"> Департаменту державного </w:t>
      </w:r>
      <w:proofErr w:type="spellStart"/>
      <w:r w:rsidR="00F836F7" w:rsidRPr="00F836F7">
        <w:rPr>
          <w:b/>
          <w:szCs w:val="28"/>
          <w:lang w:val="ru-RU"/>
        </w:rPr>
        <w:t>нагляду</w:t>
      </w:r>
      <w:proofErr w:type="spellEnd"/>
      <w:r w:rsidR="00F836F7" w:rsidRPr="00F836F7">
        <w:rPr>
          <w:b/>
          <w:szCs w:val="28"/>
          <w:lang w:val="ru-RU"/>
        </w:rPr>
        <w:t xml:space="preserve"> за </w:t>
      </w:r>
      <w:proofErr w:type="spellStart"/>
      <w:r w:rsidR="00F836F7" w:rsidRPr="00F836F7">
        <w:rPr>
          <w:b/>
          <w:szCs w:val="28"/>
          <w:lang w:val="ru-RU"/>
        </w:rPr>
        <w:t>експлуатацією</w:t>
      </w:r>
      <w:proofErr w:type="spellEnd"/>
      <w:r w:rsidR="00F836F7" w:rsidRPr="00F836F7">
        <w:rPr>
          <w:b/>
          <w:szCs w:val="28"/>
          <w:lang w:val="ru-RU"/>
        </w:rPr>
        <w:t xml:space="preserve"> </w:t>
      </w:r>
      <w:proofErr w:type="spellStart"/>
      <w:r w:rsidR="00F836F7" w:rsidRPr="00F836F7">
        <w:rPr>
          <w:b/>
          <w:szCs w:val="28"/>
          <w:lang w:val="ru-RU"/>
        </w:rPr>
        <w:t>електричних</w:t>
      </w:r>
      <w:proofErr w:type="spellEnd"/>
      <w:r w:rsidR="00F836F7" w:rsidRPr="00F836F7">
        <w:rPr>
          <w:b/>
          <w:szCs w:val="28"/>
          <w:lang w:val="ru-RU"/>
        </w:rPr>
        <w:t xml:space="preserve"> </w:t>
      </w:r>
      <w:proofErr w:type="spellStart"/>
      <w:r w:rsidR="00F836F7" w:rsidRPr="00F836F7">
        <w:rPr>
          <w:b/>
          <w:szCs w:val="28"/>
          <w:lang w:val="ru-RU"/>
        </w:rPr>
        <w:t>станцій</w:t>
      </w:r>
      <w:proofErr w:type="spellEnd"/>
      <w:r w:rsidR="00F836F7" w:rsidRPr="00F836F7">
        <w:rPr>
          <w:b/>
          <w:szCs w:val="28"/>
          <w:lang w:val="ru-RU"/>
        </w:rPr>
        <w:t xml:space="preserve"> та мереж</w:t>
      </w:r>
    </w:p>
    <w:p w14:paraId="14FD1887" w14:textId="77777777" w:rsidR="004F1D7C" w:rsidRPr="00C23D54" w:rsidRDefault="004F1D7C"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23D54" w14:paraId="5B6EEEFA" w14:textId="77777777" w:rsidTr="0052274F">
        <w:tc>
          <w:tcPr>
            <w:tcW w:w="3657" w:type="dxa"/>
            <w:gridSpan w:val="2"/>
          </w:tcPr>
          <w:p w14:paraId="5C16CEDD" w14:textId="77777777" w:rsidR="00131B14" w:rsidRPr="00CE25E3" w:rsidRDefault="00131B14" w:rsidP="000F1BB0">
            <w:pPr>
              <w:pStyle w:val="Default"/>
            </w:pPr>
            <w:r w:rsidRPr="00CE25E3">
              <w:t>Назва та категорія посади, стосовно якої прийнято рішення про необхідність призначення</w:t>
            </w:r>
          </w:p>
        </w:tc>
        <w:tc>
          <w:tcPr>
            <w:tcW w:w="6663" w:type="dxa"/>
          </w:tcPr>
          <w:p w14:paraId="5935F71C" w14:textId="77777777" w:rsidR="00F836F7" w:rsidRDefault="00F836F7" w:rsidP="00E86B01">
            <w:pPr>
              <w:spacing w:line="240" w:lineRule="auto"/>
              <w:ind w:firstLine="0"/>
              <w:rPr>
                <w:sz w:val="24"/>
                <w:szCs w:val="24"/>
              </w:rPr>
            </w:pPr>
            <w:r w:rsidRPr="00F836F7">
              <w:rPr>
                <w:sz w:val="24"/>
                <w:szCs w:val="24"/>
              </w:rPr>
              <w:t>Завідувач сектору організаційної роботи, планування та звітності  - головний державний інспектор з енергетичного нагляду відділу нагляду по Центральному регіону управління нагляду за електроенергетичним обладнанням Департаменту державного нагляду за експлуатацією електричних станцій та мереж</w:t>
            </w:r>
          </w:p>
          <w:p w14:paraId="26F68C3E" w14:textId="3F772793" w:rsidR="00131B14" w:rsidRPr="00CE25E3" w:rsidRDefault="00635615" w:rsidP="00E86B01">
            <w:pPr>
              <w:spacing w:line="240" w:lineRule="auto"/>
              <w:ind w:firstLine="0"/>
              <w:rPr>
                <w:sz w:val="24"/>
                <w:szCs w:val="24"/>
              </w:rPr>
            </w:pPr>
            <w:r w:rsidRPr="00CE25E3">
              <w:rPr>
                <w:sz w:val="24"/>
                <w:szCs w:val="24"/>
              </w:rPr>
              <w:t>К</w:t>
            </w:r>
            <w:r w:rsidR="00FB3D63" w:rsidRPr="00CE25E3">
              <w:rPr>
                <w:sz w:val="24"/>
                <w:szCs w:val="24"/>
              </w:rPr>
              <w:t>атегорія «Б</w:t>
            </w:r>
            <w:r w:rsidR="002C3817" w:rsidRPr="00CE25E3">
              <w:rPr>
                <w:sz w:val="24"/>
                <w:szCs w:val="24"/>
              </w:rPr>
              <w:t>»</w:t>
            </w:r>
          </w:p>
        </w:tc>
      </w:tr>
      <w:tr w:rsidR="004F1D7C" w:rsidRPr="00C23D54" w14:paraId="46ECF4CF" w14:textId="77777777" w:rsidTr="00FB3D63">
        <w:trPr>
          <w:trHeight w:val="558"/>
        </w:trPr>
        <w:tc>
          <w:tcPr>
            <w:tcW w:w="3657" w:type="dxa"/>
            <w:gridSpan w:val="2"/>
          </w:tcPr>
          <w:p w14:paraId="49D2DF76" w14:textId="77777777" w:rsidR="004F1D7C" w:rsidRPr="00CE25E3" w:rsidRDefault="004F1D7C" w:rsidP="004F1D7C">
            <w:pPr>
              <w:pStyle w:val="Default"/>
            </w:pPr>
            <w:r w:rsidRPr="00CE25E3">
              <w:t>Посадові обов’язки</w:t>
            </w:r>
          </w:p>
        </w:tc>
        <w:tc>
          <w:tcPr>
            <w:tcW w:w="6663" w:type="dxa"/>
          </w:tcPr>
          <w:p w14:paraId="0270FCF7" w14:textId="5367F9A2" w:rsidR="00F836F7" w:rsidRDefault="00F836F7" w:rsidP="00F836F7">
            <w:pPr>
              <w:pStyle w:val="af4"/>
              <w:tabs>
                <w:tab w:val="left" w:pos="60"/>
              </w:tabs>
              <w:jc w:val="both"/>
            </w:pPr>
            <w:bookmarkStart w:id="1" w:name="n100"/>
            <w:bookmarkEnd w:id="1"/>
            <w:r>
              <w:t>1. Керівництво та організація роботи сектору:</w:t>
            </w:r>
          </w:p>
          <w:p w14:paraId="43A54754" w14:textId="5D1259D1" w:rsidR="00F836F7" w:rsidRDefault="00F836F7" w:rsidP="00F836F7">
            <w:pPr>
              <w:pStyle w:val="af4"/>
              <w:tabs>
                <w:tab w:val="left" w:pos="60"/>
              </w:tabs>
              <w:jc w:val="both"/>
            </w:pPr>
            <w:r>
              <w:t>- забезпечення виконання завдань і функцій, покладених на сектор та відділ, визначених Положенням про відділ;</w:t>
            </w:r>
          </w:p>
          <w:p w14:paraId="36AE32D1" w14:textId="77777777" w:rsidR="00F836F7" w:rsidRDefault="00F836F7" w:rsidP="00F836F7">
            <w:pPr>
              <w:pStyle w:val="af4"/>
              <w:tabs>
                <w:tab w:val="left" w:pos="60"/>
              </w:tabs>
              <w:jc w:val="both"/>
            </w:pPr>
            <w:r>
              <w:t>- організація та  контроль формування інспекторським складом відділу Планів здійснення комплексних заходів державного енергетичного нагляду (контролю) щодо учасників ринку електричної енергії (крім споживачів);</w:t>
            </w:r>
          </w:p>
          <w:p w14:paraId="53E0497A" w14:textId="76EFEB6D" w:rsidR="00F836F7" w:rsidRDefault="00F836F7" w:rsidP="00F836F7">
            <w:pPr>
              <w:pStyle w:val="af4"/>
              <w:tabs>
                <w:tab w:val="left" w:pos="60"/>
              </w:tabs>
              <w:jc w:val="both"/>
            </w:pPr>
            <w:r>
              <w:t xml:space="preserve">- участь у плануванні та здійсненні відділом заходів державного нагляду (контролю) об’єктів учасників ринку електричної енергії (крім споживачів); </w:t>
            </w:r>
          </w:p>
          <w:p w14:paraId="5E6FA715" w14:textId="30B0570A" w:rsidR="00F836F7" w:rsidRDefault="00F836F7" w:rsidP="00F836F7">
            <w:pPr>
              <w:pStyle w:val="af4"/>
              <w:tabs>
                <w:tab w:val="left" w:pos="60"/>
              </w:tabs>
              <w:jc w:val="both"/>
            </w:pPr>
            <w:r>
              <w:t xml:space="preserve">- організація розроблення </w:t>
            </w:r>
            <w:proofErr w:type="spellStart"/>
            <w:r>
              <w:t>проєктів</w:t>
            </w:r>
            <w:proofErr w:type="spellEnd"/>
            <w:r>
              <w:t xml:space="preserve"> річних та місячних планів роботи відділу;</w:t>
            </w:r>
          </w:p>
          <w:p w14:paraId="7C69C1B1" w14:textId="367D93D5" w:rsidR="00F836F7" w:rsidRDefault="00F836F7" w:rsidP="00F836F7">
            <w:pPr>
              <w:pStyle w:val="af4"/>
              <w:tabs>
                <w:tab w:val="left" w:pos="60"/>
              </w:tabs>
              <w:jc w:val="both"/>
            </w:pPr>
            <w:r>
              <w:t>- здійснення контролю за виконанням затверджених планів працівниками відділу;</w:t>
            </w:r>
          </w:p>
          <w:p w14:paraId="0038A72E" w14:textId="6F351A91" w:rsidR="00F836F7" w:rsidRDefault="00F836F7" w:rsidP="00F836F7">
            <w:pPr>
              <w:pStyle w:val="af4"/>
              <w:tabs>
                <w:tab w:val="left" w:pos="60"/>
              </w:tabs>
              <w:jc w:val="both"/>
            </w:pPr>
            <w:r>
              <w:t>- узагальнення підготовлених державними інспекторами з енергетичного нагляду планів, звітів та інших матеріалів з питань роботи відділу;</w:t>
            </w:r>
          </w:p>
          <w:p w14:paraId="18723733" w14:textId="77777777" w:rsidR="00F836F7" w:rsidRDefault="00F836F7" w:rsidP="00F836F7">
            <w:pPr>
              <w:pStyle w:val="af4"/>
              <w:tabs>
                <w:tab w:val="left" w:pos="60"/>
              </w:tabs>
              <w:jc w:val="both"/>
            </w:pPr>
            <w:r>
              <w:t>- організація збору, узагальнення та надання інформації для аналізу щодо технологічних порушень в роботі, які виникли на обладнанні учасників ринку електричної енергії  (крім споживачів);</w:t>
            </w:r>
          </w:p>
          <w:p w14:paraId="70BC6ECD" w14:textId="62107BAB" w:rsidR="00F836F7" w:rsidRDefault="00F836F7" w:rsidP="00F836F7">
            <w:pPr>
              <w:pStyle w:val="af4"/>
              <w:tabs>
                <w:tab w:val="left" w:pos="60"/>
              </w:tabs>
              <w:jc w:val="both"/>
            </w:pPr>
            <w:r>
              <w:t xml:space="preserve">- підготовка пропозицій з питань обліку, класифікації та </w:t>
            </w:r>
            <w:proofErr w:type="spellStart"/>
            <w:r>
              <w:t>перекласифікації</w:t>
            </w:r>
            <w:proofErr w:type="spellEnd"/>
            <w:r>
              <w:t xml:space="preserve"> технологічних порушень у роботі устаткування об’єктів у галузі електроенергетики та теплопостачання;</w:t>
            </w:r>
          </w:p>
          <w:p w14:paraId="07F39D6D" w14:textId="41241884" w:rsidR="00F836F7" w:rsidRDefault="00F836F7" w:rsidP="00F836F7">
            <w:pPr>
              <w:pStyle w:val="af4"/>
              <w:tabs>
                <w:tab w:val="left" w:pos="60"/>
              </w:tabs>
              <w:jc w:val="both"/>
            </w:pPr>
            <w:r>
              <w:t xml:space="preserve">- організація та участь у підготовці річного звіту </w:t>
            </w:r>
            <w:proofErr w:type="spellStart"/>
            <w:r>
              <w:t>Держенергонагляду</w:t>
            </w:r>
            <w:proofErr w:type="spellEnd"/>
            <w:r>
              <w:t xml:space="preserve"> з питань, що стосуються діяльності сектору, відділу та Департаменту;</w:t>
            </w:r>
          </w:p>
          <w:p w14:paraId="27EB1A51" w14:textId="2B958098" w:rsidR="00F836F7" w:rsidRDefault="00F836F7" w:rsidP="00F836F7">
            <w:pPr>
              <w:pStyle w:val="af4"/>
              <w:tabs>
                <w:tab w:val="left" w:pos="60"/>
              </w:tabs>
              <w:jc w:val="both"/>
            </w:pPr>
            <w:r>
              <w:t>- участь у плануванні організації підготовки та підвищення кваліфікації інспекторського складу;</w:t>
            </w:r>
          </w:p>
          <w:p w14:paraId="015D665A" w14:textId="6870C683" w:rsidR="00F836F7" w:rsidRDefault="00F836F7" w:rsidP="00F836F7">
            <w:pPr>
              <w:pStyle w:val="af4"/>
              <w:tabs>
                <w:tab w:val="left" w:pos="60"/>
              </w:tabs>
              <w:jc w:val="both"/>
            </w:pPr>
            <w:r>
              <w:lastRenderedPageBreak/>
              <w:t xml:space="preserve">- участь у технічних нарадах, конференціях і семінарах Міненерго та інших міністерств; </w:t>
            </w:r>
          </w:p>
          <w:p w14:paraId="772C44C3" w14:textId="45FBEA01" w:rsidR="00F836F7" w:rsidRDefault="00F836F7" w:rsidP="00F836F7">
            <w:pPr>
              <w:pStyle w:val="af4"/>
              <w:tabs>
                <w:tab w:val="left" w:pos="60"/>
              </w:tabs>
              <w:jc w:val="both"/>
            </w:pPr>
            <w:r>
              <w:t>- участь у міжнародному співробітництві, вивчення, узагальнення, поширення передового світового досвіду щодо підвищення надійності роботи об’єктів електроенергетики та теплопостачання в межах повноважень.</w:t>
            </w:r>
          </w:p>
          <w:p w14:paraId="7856E446" w14:textId="6ABB7E47" w:rsidR="00F836F7" w:rsidRDefault="00F836F7" w:rsidP="00F836F7">
            <w:pPr>
              <w:pStyle w:val="af4"/>
              <w:tabs>
                <w:tab w:val="left" w:pos="60"/>
              </w:tabs>
              <w:jc w:val="both"/>
            </w:pPr>
            <w:r>
              <w:t>2. Організація надання з дотриманням затверджених термінів до апарату Департаменту:</w:t>
            </w:r>
          </w:p>
          <w:p w14:paraId="38804B57" w14:textId="35E5AEC2" w:rsidR="00F836F7" w:rsidRDefault="005B140F" w:rsidP="00F836F7">
            <w:pPr>
              <w:pStyle w:val="af4"/>
              <w:tabs>
                <w:tab w:val="left" w:pos="60"/>
              </w:tabs>
              <w:jc w:val="both"/>
            </w:pPr>
            <w:r>
              <w:t>- </w:t>
            </w:r>
            <w:r w:rsidR="00F836F7">
              <w:t>планів робіт, звітної та статистичної інформації у галузях електроенергетики та теплопостачання для аналізу та узгодження;</w:t>
            </w:r>
          </w:p>
          <w:p w14:paraId="2CD71077" w14:textId="227F4446" w:rsidR="00F836F7" w:rsidRDefault="005B140F" w:rsidP="00F836F7">
            <w:pPr>
              <w:pStyle w:val="af4"/>
              <w:tabs>
                <w:tab w:val="left" w:pos="60"/>
              </w:tabs>
              <w:jc w:val="both"/>
            </w:pPr>
            <w:r>
              <w:t>- </w:t>
            </w:r>
            <w:r w:rsidR="00F836F7">
              <w:t>інформації щодо результатів державного енергетичного нагляду за учасниками ринку електричної енергії (крім споживачів) у тому числі за тематичними напрямками, здійсненими за дорученнями Міненерго;</w:t>
            </w:r>
          </w:p>
          <w:p w14:paraId="519F6020" w14:textId="77777777" w:rsidR="00F836F7" w:rsidRDefault="00F836F7" w:rsidP="00F836F7">
            <w:pPr>
              <w:pStyle w:val="af4"/>
              <w:tabs>
                <w:tab w:val="left" w:pos="60"/>
              </w:tabs>
              <w:jc w:val="both"/>
            </w:pPr>
            <w:r>
              <w:t>- звітів щодо виконання учасниками ринку електричної енергії (крім споживачів) приписів, розпоряджень або інших розпорядчих документів щодо усунення ними порушень вимог нормативно-правових актів і нормативних документів з питань технічної експлуатації та технічного стану устаткування об’єктів у галузях електроенергетики та теплопостачання, виявлених за результатами здійснених заходів з державного енергетичного нагляду (контролю);</w:t>
            </w:r>
          </w:p>
          <w:p w14:paraId="6A377C9F" w14:textId="77777777" w:rsidR="00F836F7" w:rsidRDefault="00F836F7" w:rsidP="00F836F7">
            <w:pPr>
              <w:pStyle w:val="af4"/>
              <w:tabs>
                <w:tab w:val="left" w:pos="60"/>
              </w:tabs>
              <w:jc w:val="both"/>
            </w:pPr>
            <w:r>
              <w:t>- інформації щодо технологічних порушень в роботі об’єктів учасників ринку електричної енергії (крім споживачів).</w:t>
            </w:r>
          </w:p>
          <w:p w14:paraId="6DB4C729" w14:textId="32882C51" w:rsidR="00F836F7" w:rsidRDefault="00F836F7" w:rsidP="00F836F7">
            <w:pPr>
              <w:pStyle w:val="af4"/>
              <w:tabs>
                <w:tab w:val="left" w:pos="60"/>
              </w:tabs>
              <w:jc w:val="both"/>
            </w:pPr>
            <w:r>
              <w:t xml:space="preserve">3. Підготовка </w:t>
            </w:r>
            <w:proofErr w:type="spellStart"/>
            <w:r>
              <w:t>проєктів</w:t>
            </w:r>
            <w:proofErr w:type="spellEnd"/>
            <w:r>
              <w:t xml:space="preserve"> висновків щодо результатів перевірок виконання  реконструкції та модернізації устаткування об’єктів учасників ринку електричної енергії (крім споживачів).</w:t>
            </w:r>
          </w:p>
          <w:p w14:paraId="4B496335" w14:textId="3F87537F" w:rsidR="00F836F7" w:rsidRDefault="00F836F7" w:rsidP="00F836F7">
            <w:pPr>
              <w:pStyle w:val="af4"/>
              <w:tabs>
                <w:tab w:val="left" w:pos="60"/>
              </w:tabs>
              <w:jc w:val="both"/>
            </w:pPr>
            <w:r>
              <w:t xml:space="preserve">4. Здійснення контролю ходу виконання наказів, доручень і розпоряджень Голови </w:t>
            </w:r>
            <w:proofErr w:type="spellStart"/>
            <w:r>
              <w:t>Держенергонагляду</w:t>
            </w:r>
            <w:proofErr w:type="spellEnd"/>
            <w:r>
              <w:t xml:space="preserve"> та директора Департаменту, які потребують контролю за їх виконанням у відділі, визначення причин несвоєчасного їх виконання, інформування  начальника відділу про стан їх виконання.</w:t>
            </w:r>
          </w:p>
          <w:p w14:paraId="596FD712" w14:textId="7D675665" w:rsidR="00F836F7" w:rsidRDefault="00F836F7" w:rsidP="00F836F7">
            <w:pPr>
              <w:pStyle w:val="af4"/>
              <w:tabs>
                <w:tab w:val="left" w:pos="60"/>
              </w:tabs>
              <w:jc w:val="both"/>
            </w:pPr>
            <w:r>
              <w:t>5. Участь (за потреби) у роботі комісій з:</w:t>
            </w:r>
          </w:p>
          <w:p w14:paraId="329AC02E" w14:textId="411F339B" w:rsidR="00F836F7" w:rsidRDefault="00F836F7" w:rsidP="00F836F7">
            <w:pPr>
              <w:pStyle w:val="af4"/>
              <w:tabs>
                <w:tab w:val="left" w:pos="60"/>
              </w:tabs>
              <w:jc w:val="both"/>
            </w:pPr>
            <w:r>
              <w:t>- розслідування технологічних порушень у роботі об'єктів учасників ринку електричної енергії (крім споживачів), які призвели до порушення режимів роботи інших учасників ринку; розроблення заходів щодо запобігання виникненню цих порушень;</w:t>
            </w:r>
          </w:p>
          <w:p w14:paraId="75CB7B1A" w14:textId="481FC908" w:rsidR="00F836F7" w:rsidRDefault="00F836F7" w:rsidP="00F836F7">
            <w:pPr>
              <w:pStyle w:val="af4"/>
              <w:tabs>
                <w:tab w:val="left" w:pos="60"/>
              </w:tabs>
              <w:jc w:val="both"/>
            </w:pPr>
            <w:r>
              <w:t xml:space="preserve">- підготовки та готовності об’єктів учасників ринку електричної енергії (крім споживачів) до роботи в особливий період, осінньо-зимовий період, а також в період повені, грозовий сезон, в умовах низьких та високих температур; </w:t>
            </w:r>
          </w:p>
          <w:p w14:paraId="1A3E7ED9" w14:textId="1E54EFB8" w:rsidR="00F836F7" w:rsidRDefault="00F836F7" w:rsidP="00F836F7">
            <w:pPr>
              <w:pStyle w:val="af4"/>
              <w:tabs>
                <w:tab w:val="left" w:pos="60"/>
              </w:tabs>
              <w:jc w:val="both"/>
            </w:pPr>
            <w:r>
              <w:t>- перевірки знань працівників структурних підрозділів електроенергетичних підприємств та організацій.</w:t>
            </w:r>
          </w:p>
          <w:p w14:paraId="5F75D804" w14:textId="6A1FE686" w:rsidR="004F1D7C" w:rsidRPr="00CE25E3" w:rsidRDefault="00F836F7" w:rsidP="00F836F7">
            <w:pPr>
              <w:pStyle w:val="af4"/>
              <w:tabs>
                <w:tab w:val="left" w:pos="60"/>
              </w:tabs>
              <w:jc w:val="both"/>
            </w:pPr>
            <w:r>
              <w:t>6. Організація аналізу актів розслідування технологічних порушень та звітності з аварійності за встановленими формами із наданням своїх пропозицій начальнику відділу.</w:t>
            </w:r>
          </w:p>
        </w:tc>
      </w:tr>
      <w:tr w:rsidR="00BC23BD" w:rsidRPr="00C23D54" w14:paraId="7C078276" w14:textId="77777777" w:rsidTr="0052274F">
        <w:tc>
          <w:tcPr>
            <w:tcW w:w="3657" w:type="dxa"/>
            <w:gridSpan w:val="2"/>
          </w:tcPr>
          <w:p w14:paraId="0B789480" w14:textId="164D7684" w:rsidR="00BC23BD" w:rsidRPr="00D55DA2" w:rsidRDefault="00BC23BD" w:rsidP="00BC23BD">
            <w:pPr>
              <w:pStyle w:val="Default"/>
            </w:pPr>
            <w:r w:rsidRPr="00D55DA2">
              <w:lastRenderedPageBreak/>
              <w:t>Умови оплати праці</w:t>
            </w:r>
          </w:p>
        </w:tc>
        <w:tc>
          <w:tcPr>
            <w:tcW w:w="6663" w:type="dxa"/>
          </w:tcPr>
          <w:p w14:paraId="3C4EACF2" w14:textId="0C5CA438" w:rsidR="00BC23BD" w:rsidRPr="004D47C7" w:rsidRDefault="00BC23BD" w:rsidP="00BC23BD">
            <w:pPr>
              <w:pStyle w:val="a4"/>
              <w:spacing w:before="0" w:line="240" w:lineRule="auto"/>
              <w:ind w:firstLine="0"/>
              <w:rPr>
                <w:sz w:val="24"/>
                <w:szCs w:val="24"/>
              </w:rPr>
            </w:pPr>
            <w:r w:rsidRPr="004D47C7">
              <w:rPr>
                <w:sz w:val="24"/>
                <w:szCs w:val="24"/>
              </w:rPr>
              <w:t xml:space="preserve">1) посадовий оклад – </w:t>
            </w:r>
            <w:r w:rsidR="00F836F7">
              <w:rPr>
                <w:color w:val="000000" w:themeColor="text1"/>
                <w:sz w:val="24"/>
                <w:szCs w:val="24"/>
              </w:rPr>
              <w:t>9 600</w:t>
            </w:r>
            <w:r w:rsidRPr="004D47C7">
              <w:rPr>
                <w:color w:val="000000" w:themeColor="text1"/>
                <w:sz w:val="24"/>
                <w:szCs w:val="24"/>
              </w:rPr>
              <w:t xml:space="preserve"> гривень;</w:t>
            </w:r>
          </w:p>
          <w:p w14:paraId="314D8393" w14:textId="0466578B" w:rsidR="00BC23BD" w:rsidRPr="004D47C7" w:rsidRDefault="00BC23BD" w:rsidP="00BC23BD">
            <w:pPr>
              <w:pStyle w:val="a4"/>
              <w:spacing w:before="0" w:line="240" w:lineRule="auto"/>
              <w:ind w:firstLine="0"/>
              <w:rPr>
                <w:sz w:val="24"/>
                <w:szCs w:val="24"/>
              </w:rPr>
            </w:pPr>
            <w:r w:rsidRPr="004D47C7">
              <w:rPr>
                <w:sz w:val="24"/>
                <w:szCs w:val="24"/>
              </w:rPr>
              <w:t xml:space="preserve">2) надбавка до посадового окладу за ранг - відповідно </w:t>
            </w:r>
            <w:r w:rsidRPr="004D47C7">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A122CB" w:rsidRDefault="00BC23BD" w:rsidP="00BC23BD">
            <w:pPr>
              <w:pStyle w:val="a4"/>
              <w:spacing w:before="0" w:line="240" w:lineRule="auto"/>
              <w:ind w:firstLine="0"/>
              <w:rPr>
                <w:sz w:val="24"/>
                <w:szCs w:val="24"/>
                <w:highlight w:val="yellow"/>
              </w:rPr>
            </w:pPr>
            <w:r w:rsidRPr="004D47C7">
              <w:rPr>
                <w:sz w:val="24"/>
                <w:szCs w:val="24"/>
              </w:rPr>
              <w:lastRenderedPageBreak/>
              <w:t>3) інші надбавки, доплати та премії відповідно до статті 52 Закону України «Про державну службу»;</w:t>
            </w:r>
          </w:p>
        </w:tc>
      </w:tr>
      <w:tr w:rsidR="00BC23BD" w:rsidRPr="00C23D54" w14:paraId="44728459" w14:textId="77777777" w:rsidTr="0052274F">
        <w:tc>
          <w:tcPr>
            <w:tcW w:w="3657" w:type="dxa"/>
            <w:gridSpan w:val="2"/>
          </w:tcPr>
          <w:p w14:paraId="4724D836" w14:textId="18264CAE" w:rsidR="00BC23BD" w:rsidRPr="00CE25E3" w:rsidRDefault="00BC23BD" w:rsidP="00BC23BD">
            <w:pPr>
              <w:pStyle w:val="Default"/>
            </w:pPr>
            <w:r w:rsidRPr="00CE25E3">
              <w:lastRenderedPageBreak/>
              <w:t>Інформація про строковість призначення на посаду</w:t>
            </w:r>
          </w:p>
        </w:tc>
        <w:tc>
          <w:tcPr>
            <w:tcW w:w="6663" w:type="dxa"/>
          </w:tcPr>
          <w:p w14:paraId="6B876675" w14:textId="51E3C139" w:rsidR="00BC23BD" w:rsidRPr="00CE25E3" w:rsidRDefault="00BC23BD" w:rsidP="00BC23BD">
            <w:pPr>
              <w:spacing w:line="240" w:lineRule="auto"/>
              <w:ind w:firstLine="0"/>
              <w:rPr>
                <w:sz w:val="24"/>
                <w:szCs w:val="24"/>
                <w:highlight w:val="yellow"/>
              </w:rPr>
            </w:pPr>
            <w:proofErr w:type="spellStart"/>
            <w:r w:rsidRPr="00CE25E3">
              <w:rPr>
                <w:color w:val="000000"/>
                <w:sz w:val="24"/>
                <w:szCs w:val="24"/>
              </w:rPr>
              <w:t>Строково</w:t>
            </w:r>
            <w:proofErr w:type="spellEnd"/>
            <w:r w:rsidRPr="00CE25E3">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CE25E3">
              <w:rPr>
                <w:color w:val="000000"/>
                <w:sz w:val="24"/>
                <w:szCs w:val="24"/>
              </w:rPr>
              <w:t>коронавірусом</w:t>
            </w:r>
            <w:proofErr w:type="spellEnd"/>
            <w:r w:rsidRPr="00CE25E3">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C23D54" w14:paraId="03028752" w14:textId="77777777" w:rsidTr="0052274F">
        <w:tc>
          <w:tcPr>
            <w:tcW w:w="3657" w:type="dxa"/>
            <w:gridSpan w:val="2"/>
          </w:tcPr>
          <w:p w14:paraId="784C2F42" w14:textId="1FC4EDED" w:rsidR="00BC23BD" w:rsidRPr="00CE25E3" w:rsidRDefault="00BC23BD" w:rsidP="00BC23BD">
            <w:pPr>
              <w:pStyle w:val="Default"/>
            </w:pPr>
            <w:r w:rsidRPr="00CE25E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CE25E3" w:rsidRDefault="00BC23BD" w:rsidP="00BC23BD">
            <w:pPr>
              <w:pStyle w:val="a4"/>
              <w:spacing w:before="0" w:line="240" w:lineRule="auto"/>
              <w:ind w:firstLine="0"/>
              <w:rPr>
                <w:sz w:val="24"/>
                <w:szCs w:val="24"/>
              </w:rPr>
            </w:pPr>
            <w:r w:rsidRPr="00CE25E3">
              <w:rPr>
                <w:sz w:val="24"/>
                <w:szCs w:val="24"/>
              </w:rPr>
              <w:t xml:space="preserve">Особа, яка бажає взяти участь у доборі з призначення </w:t>
            </w:r>
            <w:r w:rsidRPr="00CE25E3">
              <w:rPr>
                <w:sz w:val="24"/>
                <w:szCs w:val="24"/>
                <w:lang w:val="ru-RU"/>
              </w:rPr>
              <w:br/>
            </w:r>
            <w:r w:rsidRPr="00CE25E3">
              <w:rPr>
                <w:sz w:val="24"/>
                <w:szCs w:val="24"/>
              </w:rPr>
              <w:t>на вакантну посаду, подає таку інформацію через Єдиний портал вакансій державної служби:</w:t>
            </w:r>
          </w:p>
          <w:p w14:paraId="19DAA764" w14:textId="5F4EA641" w:rsidR="00BC23BD" w:rsidRPr="00CE25E3" w:rsidRDefault="00BC23BD" w:rsidP="00BC23BD">
            <w:pPr>
              <w:pStyle w:val="a4"/>
              <w:spacing w:before="0" w:line="240" w:lineRule="auto"/>
              <w:ind w:firstLine="0"/>
              <w:rPr>
                <w:sz w:val="24"/>
                <w:szCs w:val="24"/>
              </w:rPr>
            </w:pPr>
            <w:r w:rsidRPr="00CE25E3">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CE25E3">
              <w:rPr>
                <w:sz w:val="24"/>
                <w:szCs w:val="24"/>
                <w:lang w:val="ru-RU"/>
              </w:rPr>
              <w:br/>
            </w:r>
            <w:r w:rsidRPr="00CE25E3">
              <w:rPr>
                <w:sz w:val="24"/>
                <w:szCs w:val="24"/>
              </w:rPr>
              <w:t xml:space="preserve">на території України гострої респіраторної хвороби COVID-19, спричиненої </w:t>
            </w:r>
            <w:proofErr w:type="spellStart"/>
            <w:r w:rsidRPr="00CE25E3">
              <w:rPr>
                <w:sz w:val="24"/>
                <w:szCs w:val="24"/>
              </w:rPr>
              <w:t>коронавірусом</w:t>
            </w:r>
            <w:proofErr w:type="spellEnd"/>
            <w:r w:rsidRPr="00CE25E3">
              <w:rPr>
                <w:sz w:val="24"/>
                <w:szCs w:val="24"/>
              </w:rPr>
              <w:t xml:space="preserve"> SARS-CoV-2, затвердженого постановою Кабінету Міністрів України від 22 квітня</w:t>
            </w:r>
            <w:r w:rsidRPr="00CE25E3">
              <w:rPr>
                <w:sz w:val="24"/>
                <w:szCs w:val="24"/>
              </w:rPr>
              <w:br/>
              <w:t>2020 року № 290 (далі – Порядок);</w:t>
            </w:r>
          </w:p>
          <w:p w14:paraId="74546E35" w14:textId="77777777" w:rsidR="00BC23BD" w:rsidRPr="00CE25E3" w:rsidRDefault="00BC23BD" w:rsidP="00BC23BD">
            <w:pPr>
              <w:pStyle w:val="a4"/>
              <w:spacing w:before="0" w:line="240" w:lineRule="auto"/>
              <w:ind w:firstLine="0"/>
              <w:rPr>
                <w:sz w:val="24"/>
                <w:szCs w:val="24"/>
              </w:rPr>
            </w:pPr>
            <w:r w:rsidRPr="00CE25E3">
              <w:rPr>
                <w:sz w:val="24"/>
                <w:szCs w:val="24"/>
              </w:rPr>
              <w:t>2) резюме за формою згідно з додатком 2 до Порядку;</w:t>
            </w:r>
          </w:p>
          <w:p w14:paraId="4A09105F" w14:textId="5976BF65" w:rsidR="00BC23BD" w:rsidRPr="00CE25E3" w:rsidRDefault="00BC23BD" w:rsidP="00BC23BD">
            <w:pPr>
              <w:pStyle w:val="a4"/>
              <w:spacing w:before="0" w:line="240" w:lineRule="auto"/>
              <w:ind w:firstLine="0"/>
              <w:rPr>
                <w:sz w:val="24"/>
                <w:szCs w:val="24"/>
              </w:rPr>
            </w:pPr>
            <w:r w:rsidRPr="00CE25E3">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CE25E3">
              <w:rPr>
                <w:sz w:val="24"/>
                <w:szCs w:val="24"/>
                <w:lang w:val="ru-RU"/>
              </w:rPr>
              <w:br/>
            </w:r>
            <w:r w:rsidRPr="00CE25E3">
              <w:rPr>
                <w:sz w:val="24"/>
                <w:szCs w:val="24"/>
              </w:rP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CE25E3" w:rsidRDefault="00BC23BD" w:rsidP="00BC23BD">
            <w:pPr>
              <w:pStyle w:val="a4"/>
              <w:spacing w:before="0" w:line="240" w:lineRule="auto"/>
              <w:ind w:firstLine="0"/>
              <w:rPr>
                <w:sz w:val="24"/>
                <w:szCs w:val="24"/>
              </w:rPr>
            </w:pPr>
          </w:p>
          <w:p w14:paraId="737C85BC" w14:textId="29788CB6" w:rsidR="00BC23BD" w:rsidRPr="00CE25E3" w:rsidRDefault="00BC23BD" w:rsidP="00BC23BD">
            <w:pPr>
              <w:pStyle w:val="a4"/>
              <w:spacing w:before="0" w:line="240" w:lineRule="auto"/>
              <w:ind w:firstLine="0"/>
              <w:rPr>
                <w:sz w:val="24"/>
                <w:szCs w:val="24"/>
              </w:rPr>
            </w:pPr>
            <w:r w:rsidRPr="00CE25E3">
              <w:rPr>
                <w:sz w:val="24"/>
                <w:szCs w:val="24"/>
              </w:rPr>
              <w:t xml:space="preserve">Особа, яка виявила бажання взяти участь у доборі </w:t>
            </w:r>
            <w:r w:rsidRPr="00CE25E3">
              <w:rPr>
                <w:sz w:val="24"/>
                <w:szCs w:val="24"/>
                <w:lang w:val="ru-RU"/>
              </w:rPr>
              <w:br/>
            </w:r>
            <w:r w:rsidRPr="00CE25E3">
              <w:rPr>
                <w:sz w:val="24"/>
                <w:szCs w:val="24"/>
              </w:rPr>
              <w:t xml:space="preserve">з призначення на вакантну посаду, може подавати додаткову інформацію, яка підтверджує відповідність встановленим </w:t>
            </w:r>
            <w:r w:rsidRPr="00CE25E3">
              <w:rPr>
                <w:sz w:val="24"/>
                <w:szCs w:val="24"/>
                <w:lang w:val="ru-RU"/>
              </w:rPr>
              <w:br/>
            </w:r>
            <w:r w:rsidRPr="00CE25E3">
              <w:rPr>
                <w:sz w:val="24"/>
                <w:szCs w:val="24"/>
              </w:rPr>
              <w:t xml:space="preserve">в оголошенні вимогам, зокрема стосовно досвіду роботи, професійних </w:t>
            </w:r>
            <w:proofErr w:type="spellStart"/>
            <w:r w:rsidRPr="00CE25E3">
              <w:rPr>
                <w:sz w:val="24"/>
                <w:szCs w:val="24"/>
              </w:rPr>
              <w:t>компетентностей</w:t>
            </w:r>
            <w:proofErr w:type="spellEnd"/>
            <w:r w:rsidRPr="00CE25E3">
              <w:rPr>
                <w:sz w:val="24"/>
                <w:szCs w:val="24"/>
              </w:rPr>
              <w:t>, репутації (характеристики, рекомендації, наукові публікації тощо).</w:t>
            </w:r>
          </w:p>
          <w:p w14:paraId="10BAF644" w14:textId="77777777" w:rsidR="00BC23BD" w:rsidRPr="0090098C" w:rsidRDefault="00BC23BD" w:rsidP="00BC23BD">
            <w:pPr>
              <w:pStyle w:val="a4"/>
              <w:spacing w:before="0" w:line="240" w:lineRule="auto"/>
              <w:ind w:firstLine="0"/>
              <w:rPr>
                <w:sz w:val="24"/>
                <w:szCs w:val="24"/>
              </w:rPr>
            </w:pPr>
          </w:p>
          <w:p w14:paraId="5CB79367" w14:textId="42D3A92D" w:rsidR="00BC23BD" w:rsidRPr="006C10AE" w:rsidRDefault="00BC23BD" w:rsidP="00BC23BD">
            <w:pPr>
              <w:pStyle w:val="a4"/>
              <w:spacing w:before="0" w:line="240" w:lineRule="auto"/>
              <w:ind w:firstLine="0"/>
              <w:rPr>
                <w:sz w:val="24"/>
                <w:szCs w:val="24"/>
              </w:rPr>
            </w:pPr>
            <w:r w:rsidRPr="006C10AE">
              <w:rPr>
                <w:sz w:val="24"/>
                <w:szCs w:val="24"/>
              </w:rPr>
              <w:t xml:space="preserve">Інформація приймається до 17 години 00 хвилин </w:t>
            </w:r>
            <w:r w:rsidRPr="006C10AE">
              <w:rPr>
                <w:sz w:val="24"/>
                <w:szCs w:val="24"/>
              </w:rPr>
              <w:br/>
            </w:r>
            <w:r w:rsidR="0090098C" w:rsidRPr="006C10AE">
              <w:rPr>
                <w:sz w:val="24"/>
                <w:szCs w:val="24"/>
                <w:lang w:val="ru-RU"/>
              </w:rPr>
              <w:t>2</w:t>
            </w:r>
            <w:r w:rsidR="004F1D7C">
              <w:rPr>
                <w:sz w:val="24"/>
                <w:szCs w:val="24"/>
                <w:lang w:val="ru-RU"/>
              </w:rPr>
              <w:t>9</w:t>
            </w:r>
            <w:r w:rsidR="00EA523E" w:rsidRPr="006C10AE">
              <w:rPr>
                <w:sz w:val="24"/>
                <w:szCs w:val="24"/>
                <w:lang w:val="ru-RU"/>
              </w:rPr>
              <w:t xml:space="preserve"> </w:t>
            </w:r>
            <w:proofErr w:type="spellStart"/>
            <w:r w:rsidR="00EA523E" w:rsidRPr="006C10AE">
              <w:rPr>
                <w:sz w:val="24"/>
                <w:szCs w:val="24"/>
                <w:lang w:val="ru-RU"/>
              </w:rPr>
              <w:t>жовтня</w:t>
            </w:r>
            <w:proofErr w:type="spellEnd"/>
            <w:r w:rsidRPr="006C10AE">
              <w:rPr>
                <w:sz w:val="24"/>
                <w:szCs w:val="24"/>
              </w:rPr>
              <w:t xml:space="preserve"> 2020</w:t>
            </w:r>
            <w:r w:rsidRPr="006C10AE">
              <w:rPr>
                <w:sz w:val="24"/>
                <w:szCs w:val="24"/>
                <w:lang w:val="ru-RU"/>
              </w:rPr>
              <w:t xml:space="preserve"> </w:t>
            </w:r>
            <w:r w:rsidRPr="006C10AE">
              <w:rPr>
                <w:sz w:val="24"/>
                <w:szCs w:val="24"/>
              </w:rPr>
              <w:t>року включно.</w:t>
            </w:r>
          </w:p>
          <w:p w14:paraId="6864EDC5" w14:textId="12A673FA" w:rsidR="00BC23BD" w:rsidRPr="00CE25E3" w:rsidRDefault="00BC23BD" w:rsidP="00BC23BD">
            <w:pPr>
              <w:pStyle w:val="a4"/>
              <w:spacing w:before="0" w:line="240" w:lineRule="auto"/>
              <w:ind w:firstLine="0"/>
              <w:rPr>
                <w:sz w:val="24"/>
                <w:szCs w:val="24"/>
                <w:highlight w:val="yellow"/>
                <w:lang w:val="ru-RU"/>
              </w:rPr>
            </w:pPr>
            <w:r w:rsidRPr="006C10AE">
              <w:rPr>
                <w:sz w:val="24"/>
                <w:szCs w:val="24"/>
              </w:rPr>
              <w:t>Адресат: Управління</w:t>
            </w:r>
            <w:r w:rsidRPr="00CE25E3">
              <w:rPr>
                <w:sz w:val="24"/>
                <w:szCs w:val="24"/>
              </w:rPr>
              <w:t xml:space="preserve"> по роботі з персоналом Державної інспекції енергетичного нагляду України.</w:t>
            </w:r>
          </w:p>
        </w:tc>
      </w:tr>
      <w:tr w:rsidR="00BC23BD" w:rsidRPr="00C23D54" w14:paraId="015544FD" w14:textId="77777777" w:rsidTr="00635615">
        <w:tc>
          <w:tcPr>
            <w:tcW w:w="3657" w:type="dxa"/>
            <w:gridSpan w:val="2"/>
            <w:tcBorders>
              <w:bottom w:val="single" w:sz="4" w:space="0" w:color="auto"/>
            </w:tcBorders>
          </w:tcPr>
          <w:p w14:paraId="130E05B8" w14:textId="3DF8AC87" w:rsidR="00BC23BD" w:rsidRPr="00CE25E3" w:rsidRDefault="00BC23BD" w:rsidP="00BC23BD">
            <w:pPr>
              <w:pStyle w:val="Default"/>
            </w:pPr>
            <w:r w:rsidRPr="00CE25E3">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CE25E3" w:rsidRDefault="00BC23BD" w:rsidP="00BC23BD">
            <w:pPr>
              <w:spacing w:line="240" w:lineRule="auto"/>
              <w:ind w:firstLine="0"/>
              <w:rPr>
                <w:sz w:val="24"/>
                <w:szCs w:val="24"/>
              </w:rPr>
            </w:pPr>
            <w:r w:rsidRPr="00CE25E3">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Pr>
                <w:sz w:val="24"/>
                <w:szCs w:val="24"/>
              </w:rPr>
              <w:t>Бабич Євгенія Іванівна</w:t>
            </w:r>
            <w:r w:rsidRPr="00CE25E3">
              <w:rPr>
                <w:sz w:val="24"/>
                <w:szCs w:val="24"/>
              </w:rPr>
              <w:t>, </w:t>
            </w:r>
            <w:proofErr w:type="spellStart"/>
            <w:r w:rsidRPr="00CE25E3">
              <w:rPr>
                <w:sz w:val="24"/>
                <w:szCs w:val="24"/>
              </w:rPr>
              <w:t>тел</w:t>
            </w:r>
            <w:proofErr w:type="spellEnd"/>
            <w:r w:rsidRPr="00CE25E3">
              <w:rPr>
                <w:sz w:val="24"/>
                <w:szCs w:val="24"/>
              </w:rPr>
              <w:t>. 044-204-79-19, </w:t>
            </w:r>
          </w:p>
          <w:p w14:paraId="1BFE2EC7" w14:textId="05C6730E" w:rsidR="00BC23BD" w:rsidRPr="00CE25E3" w:rsidRDefault="00BC23BD" w:rsidP="00BC23BD">
            <w:pPr>
              <w:spacing w:line="240" w:lineRule="auto"/>
              <w:ind w:firstLine="0"/>
              <w:rPr>
                <w:sz w:val="24"/>
                <w:szCs w:val="24"/>
              </w:rPr>
            </w:pPr>
            <w:r w:rsidRPr="00CE25E3">
              <w:rPr>
                <w:sz w:val="24"/>
                <w:szCs w:val="24"/>
                <w:lang w:val="en-US"/>
              </w:rPr>
              <w:t>e</w:t>
            </w:r>
            <w:r w:rsidRPr="00CE25E3">
              <w:rPr>
                <w:sz w:val="24"/>
                <w:szCs w:val="24"/>
              </w:rPr>
              <w:t>-</w:t>
            </w:r>
            <w:r w:rsidRPr="00CE25E3">
              <w:rPr>
                <w:sz w:val="24"/>
                <w:szCs w:val="24"/>
                <w:lang w:val="en-US"/>
              </w:rPr>
              <w:t>mail</w:t>
            </w:r>
            <w:r w:rsidRPr="00CE25E3">
              <w:rPr>
                <w:sz w:val="24"/>
                <w:szCs w:val="24"/>
              </w:rPr>
              <w:t xml:space="preserve">: </w:t>
            </w:r>
            <w:r w:rsidRPr="00CE25E3">
              <w:rPr>
                <w:sz w:val="24"/>
                <w:szCs w:val="24"/>
                <w:lang w:val="en-US"/>
              </w:rPr>
              <w:t>konkurs</w:t>
            </w:r>
            <w:r w:rsidRPr="004F1D7C">
              <w:rPr>
                <w:sz w:val="24"/>
                <w:szCs w:val="24"/>
                <w:lang w:val="en-US"/>
              </w:rPr>
              <w:t>_</w:t>
            </w:r>
            <w:r w:rsidRPr="00CE25E3">
              <w:rPr>
                <w:sz w:val="24"/>
                <w:szCs w:val="24"/>
                <w:lang w:val="en-US"/>
              </w:rPr>
              <w:t>sies</w:t>
            </w:r>
            <w:r w:rsidRPr="004F1D7C">
              <w:rPr>
                <w:sz w:val="24"/>
                <w:szCs w:val="24"/>
                <w:lang w:val="en-US"/>
              </w:rPr>
              <w:t>@</w:t>
            </w:r>
            <w:r w:rsidRPr="00CE25E3">
              <w:rPr>
                <w:sz w:val="24"/>
                <w:szCs w:val="24"/>
                <w:lang w:val="en-US"/>
              </w:rPr>
              <w:t>sies</w:t>
            </w:r>
            <w:r w:rsidRPr="004F1D7C">
              <w:rPr>
                <w:sz w:val="24"/>
                <w:szCs w:val="24"/>
                <w:lang w:val="en-US"/>
              </w:rPr>
              <w:t>.</w:t>
            </w:r>
            <w:r w:rsidRPr="00CE25E3">
              <w:rPr>
                <w:sz w:val="24"/>
                <w:szCs w:val="24"/>
                <w:lang w:val="en-US"/>
              </w:rPr>
              <w:t>gov</w:t>
            </w:r>
            <w:r w:rsidRPr="004F1D7C">
              <w:rPr>
                <w:sz w:val="24"/>
                <w:szCs w:val="24"/>
                <w:lang w:val="en-US"/>
              </w:rPr>
              <w:t>.</w:t>
            </w:r>
            <w:r w:rsidRPr="00CE25E3">
              <w:rPr>
                <w:sz w:val="24"/>
                <w:szCs w:val="24"/>
                <w:lang w:val="en-US"/>
              </w:rPr>
              <w:t>ua</w:t>
            </w:r>
          </w:p>
        </w:tc>
      </w:tr>
      <w:tr w:rsidR="00BC23BD" w:rsidRPr="002840A1"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CE25E3" w:rsidRDefault="00BC23BD" w:rsidP="00BC23BD">
            <w:pPr>
              <w:pStyle w:val="Default"/>
              <w:jc w:val="center"/>
              <w:rPr>
                <w:b/>
              </w:rPr>
            </w:pPr>
            <w:r w:rsidRPr="00CE25E3">
              <w:rPr>
                <w:b/>
              </w:rPr>
              <w:t>Кваліфікаційні вимоги</w:t>
            </w:r>
          </w:p>
        </w:tc>
      </w:tr>
      <w:tr w:rsidR="00BC23BD" w:rsidRPr="002840A1"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CE25E3" w:rsidRDefault="00BC23BD" w:rsidP="00BC23BD">
            <w:pPr>
              <w:pStyle w:val="Default"/>
              <w:jc w:val="both"/>
            </w:pPr>
            <w:r w:rsidRPr="00CE25E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CE25E3" w:rsidRDefault="00BC23BD" w:rsidP="00BC23BD">
            <w:pPr>
              <w:pStyle w:val="Default"/>
            </w:pPr>
            <w:r w:rsidRPr="00CE25E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CE25E3" w:rsidRDefault="00886873" w:rsidP="00BC23BD">
            <w:pPr>
              <w:spacing w:line="240" w:lineRule="auto"/>
              <w:ind w:firstLine="0"/>
              <w:rPr>
                <w:sz w:val="24"/>
                <w:szCs w:val="24"/>
              </w:rPr>
            </w:pPr>
            <w:r w:rsidRPr="00CE25E3">
              <w:rPr>
                <w:sz w:val="24"/>
                <w:szCs w:val="24"/>
              </w:rPr>
              <w:t>Ступінь вищої освіти не нижче магістра</w:t>
            </w:r>
          </w:p>
        </w:tc>
      </w:tr>
      <w:tr w:rsidR="00886873" w:rsidRPr="002840A1"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CE25E3" w:rsidRDefault="00886873" w:rsidP="00886873">
            <w:pPr>
              <w:pStyle w:val="Default"/>
              <w:jc w:val="both"/>
            </w:pPr>
            <w:r w:rsidRPr="00CE25E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CE25E3" w:rsidRDefault="00886873" w:rsidP="00886873">
            <w:pPr>
              <w:pStyle w:val="Default"/>
            </w:pPr>
            <w:r w:rsidRPr="00CE25E3">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CE25E3" w:rsidRDefault="00886873" w:rsidP="00886873">
            <w:pPr>
              <w:spacing w:line="240" w:lineRule="auto"/>
              <w:ind w:firstLine="0"/>
              <w:rPr>
                <w:sz w:val="24"/>
                <w:szCs w:val="24"/>
              </w:rPr>
            </w:pPr>
            <w:r w:rsidRPr="00CE25E3">
              <w:rPr>
                <w:sz w:val="24"/>
                <w:szCs w:val="24"/>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w:t>
            </w:r>
            <w:r w:rsidRPr="00CE25E3">
              <w:rPr>
                <w:sz w:val="24"/>
                <w:szCs w:val="24"/>
              </w:rPr>
              <w:lastRenderedPageBreak/>
              <w:t>організацій незалежно від форми власності не менше двох років.</w:t>
            </w:r>
          </w:p>
        </w:tc>
      </w:tr>
      <w:tr w:rsidR="00886873" w:rsidRPr="002840A1"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CE25E3" w:rsidRDefault="00886873" w:rsidP="00886873">
            <w:pPr>
              <w:pStyle w:val="Default"/>
              <w:jc w:val="both"/>
            </w:pPr>
            <w:r w:rsidRPr="00CE25E3">
              <w:rPr>
                <w:lang w:val="en-US"/>
              </w:rPr>
              <w:lastRenderedPageBreak/>
              <w:t>3</w:t>
            </w:r>
            <w:r w:rsidRPr="00CE25E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CE25E3" w:rsidRDefault="00886873" w:rsidP="00886873">
            <w:pPr>
              <w:spacing w:line="240" w:lineRule="auto"/>
              <w:ind w:firstLine="0"/>
              <w:jc w:val="left"/>
              <w:rPr>
                <w:sz w:val="24"/>
                <w:szCs w:val="24"/>
              </w:rPr>
            </w:pPr>
            <w:r w:rsidRPr="00CE25E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CE25E3" w:rsidRDefault="00886873" w:rsidP="00886873">
            <w:pPr>
              <w:spacing w:line="240" w:lineRule="auto"/>
              <w:ind w:firstLine="0"/>
              <w:rPr>
                <w:sz w:val="24"/>
                <w:szCs w:val="24"/>
              </w:rPr>
            </w:pPr>
            <w:r w:rsidRPr="00CE25E3">
              <w:rPr>
                <w:sz w:val="24"/>
                <w:szCs w:val="24"/>
              </w:rPr>
              <w:t>Вільне володіння державною мовою</w:t>
            </w:r>
          </w:p>
        </w:tc>
      </w:tr>
      <w:tr w:rsidR="00886873" w:rsidRPr="002840A1"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CE25E3" w:rsidRDefault="00886873" w:rsidP="00886873">
            <w:pPr>
              <w:pStyle w:val="Default"/>
              <w:jc w:val="both"/>
            </w:pPr>
            <w:r w:rsidRPr="00CE25E3">
              <w:rPr>
                <w:lang w:val="en-US"/>
              </w:rPr>
              <w:t>4</w:t>
            </w:r>
            <w:r w:rsidRPr="00CE25E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CE25E3" w:rsidRDefault="00886873" w:rsidP="00886873">
            <w:pPr>
              <w:pStyle w:val="Default"/>
            </w:pPr>
            <w:r w:rsidRPr="00CE25E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CE25E3" w:rsidRDefault="00886873" w:rsidP="00886873">
            <w:pPr>
              <w:spacing w:line="240" w:lineRule="auto"/>
              <w:ind w:firstLine="0"/>
              <w:rPr>
                <w:sz w:val="24"/>
                <w:szCs w:val="24"/>
              </w:rPr>
            </w:pPr>
            <w:r w:rsidRPr="00CE25E3">
              <w:rPr>
                <w:sz w:val="24"/>
                <w:szCs w:val="24"/>
              </w:rPr>
              <w:t>Не потребує</w:t>
            </w:r>
          </w:p>
        </w:tc>
      </w:tr>
    </w:tbl>
    <w:p w14:paraId="04276A9F" w14:textId="77777777" w:rsidR="00B76D1B" w:rsidRPr="002840A1" w:rsidRDefault="00B76D1B" w:rsidP="005B47BE">
      <w:pPr>
        <w:pStyle w:val="a4"/>
        <w:spacing w:before="0" w:line="240" w:lineRule="auto"/>
        <w:ind w:firstLine="0"/>
        <w:rPr>
          <w:szCs w:val="28"/>
        </w:rPr>
      </w:pPr>
    </w:p>
    <w:p w14:paraId="5A9AC9FF" w14:textId="77777777" w:rsidR="00B76D1B" w:rsidRPr="002840A1" w:rsidRDefault="00B76D1B" w:rsidP="005B47BE">
      <w:pPr>
        <w:pStyle w:val="a4"/>
        <w:spacing w:before="0" w:line="240" w:lineRule="auto"/>
        <w:ind w:firstLine="0"/>
        <w:rPr>
          <w:szCs w:val="28"/>
        </w:rPr>
      </w:pPr>
    </w:p>
    <w:p w14:paraId="62DE3E01" w14:textId="0601BBBA" w:rsidR="00B76D1B" w:rsidRPr="002840A1" w:rsidRDefault="00B76D1B" w:rsidP="005B47BE">
      <w:pPr>
        <w:pStyle w:val="a4"/>
        <w:spacing w:before="0" w:line="240" w:lineRule="auto"/>
        <w:ind w:right="-427" w:firstLine="0"/>
        <w:rPr>
          <w:szCs w:val="28"/>
        </w:rPr>
      </w:pPr>
      <w:r w:rsidRPr="002840A1">
        <w:rPr>
          <w:szCs w:val="28"/>
        </w:rPr>
        <w:t xml:space="preserve">Начальник Управління </w:t>
      </w:r>
      <w:r w:rsidR="005E2855" w:rsidRPr="002840A1">
        <w:rPr>
          <w:szCs w:val="28"/>
        </w:rPr>
        <w:tab/>
      </w:r>
    </w:p>
    <w:p w14:paraId="62CCB55D" w14:textId="17C01D8E" w:rsidR="00131B14" w:rsidRPr="00CE2A2F" w:rsidRDefault="00B76D1B" w:rsidP="005B47BE">
      <w:pPr>
        <w:pStyle w:val="a4"/>
        <w:spacing w:before="0" w:line="240" w:lineRule="auto"/>
        <w:ind w:firstLine="0"/>
        <w:rPr>
          <w:szCs w:val="28"/>
        </w:rPr>
      </w:pPr>
      <w:r w:rsidRPr="002840A1">
        <w:rPr>
          <w:szCs w:val="28"/>
        </w:rPr>
        <w:t>по роботі з персоналом</w:t>
      </w:r>
      <w:r w:rsidRPr="002840A1">
        <w:rPr>
          <w:szCs w:val="28"/>
        </w:rPr>
        <w:tab/>
      </w:r>
      <w:r w:rsidRPr="002840A1">
        <w:rPr>
          <w:szCs w:val="28"/>
        </w:rPr>
        <w:tab/>
      </w:r>
      <w:r w:rsidRPr="002840A1">
        <w:rPr>
          <w:szCs w:val="28"/>
        </w:rPr>
        <w:tab/>
      </w:r>
      <w:r w:rsidRPr="002840A1">
        <w:rPr>
          <w:szCs w:val="28"/>
        </w:rPr>
        <w:tab/>
      </w:r>
      <w:r w:rsidRPr="002840A1">
        <w:rPr>
          <w:szCs w:val="28"/>
        </w:rPr>
        <w:tab/>
      </w:r>
      <w:r w:rsidRPr="002840A1">
        <w:rPr>
          <w:szCs w:val="28"/>
        </w:rPr>
        <w:tab/>
      </w:r>
      <w:r w:rsidRPr="002840A1">
        <w:rPr>
          <w:szCs w:val="28"/>
        </w:rPr>
        <w:tab/>
      </w:r>
      <w:r w:rsidR="005B47BE" w:rsidRPr="002840A1">
        <w:rPr>
          <w:szCs w:val="28"/>
        </w:rPr>
        <w:t xml:space="preserve"> </w:t>
      </w:r>
      <w:r w:rsidRPr="002840A1">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8AF3D" w14:textId="77777777" w:rsidR="005013B5" w:rsidRDefault="005013B5">
      <w:r>
        <w:separator/>
      </w:r>
    </w:p>
  </w:endnote>
  <w:endnote w:type="continuationSeparator" w:id="0">
    <w:p w14:paraId="3421D0A2" w14:textId="77777777" w:rsidR="005013B5" w:rsidRDefault="0050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225B4" w14:textId="77777777" w:rsidR="005013B5" w:rsidRDefault="005013B5">
      <w:r>
        <w:separator/>
      </w:r>
    </w:p>
  </w:footnote>
  <w:footnote w:type="continuationSeparator" w:id="0">
    <w:p w14:paraId="14DB58F8" w14:textId="77777777" w:rsidR="005013B5" w:rsidRDefault="00501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B3236C7"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7F2F9F">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57D30"/>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40B70"/>
    <w:rsid w:val="00344784"/>
    <w:rsid w:val="00382CF8"/>
    <w:rsid w:val="003908B7"/>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4AF1"/>
    <w:rsid w:val="004F1D7C"/>
    <w:rsid w:val="00501298"/>
    <w:rsid w:val="005013B5"/>
    <w:rsid w:val="00501A81"/>
    <w:rsid w:val="00514ABF"/>
    <w:rsid w:val="00515D04"/>
    <w:rsid w:val="0052274F"/>
    <w:rsid w:val="00542A8B"/>
    <w:rsid w:val="00543CBB"/>
    <w:rsid w:val="005447C9"/>
    <w:rsid w:val="005522DB"/>
    <w:rsid w:val="005663A5"/>
    <w:rsid w:val="00570E7B"/>
    <w:rsid w:val="0057134E"/>
    <w:rsid w:val="00577FB4"/>
    <w:rsid w:val="00581AB4"/>
    <w:rsid w:val="00584F56"/>
    <w:rsid w:val="00591104"/>
    <w:rsid w:val="005942C6"/>
    <w:rsid w:val="005B140F"/>
    <w:rsid w:val="005B2E50"/>
    <w:rsid w:val="005B47BE"/>
    <w:rsid w:val="005B64CB"/>
    <w:rsid w:val="005B669C"/>
    <w:rsid w:val="005B7FF2"/>
    <w:rsid w:val="005C0E57"/>
    <w:rsid w:val="005D3D5D"/>
    <w:rsid w:val="005E2855"/>
    <w:rsid w:val="005E5556"/>
    <w:rsid w:val="005F4828"/>
    <w:rsid w:val="00617106"/>
    <w:rsid w:val="0062522E"/>
    <w:rsid w:val="006306C6"/>
    <w:rsid w:val="00635615"/>
    <w:rsid w:val="006420CE"/>
    <w:rsid w:val="0064641C"/>
    <w:rsid w:val="006648F4"/>
    <w:rsid w:val="00671E29"/>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C1DC2"/>
    <w:rsid w:val="007D3108"/>
    <w:rsid w:val="007E2AC9"/>
    <w:rsid w:val="007E3280"/>
    <w:rsid w:val="007F2666"/>
    <w:rsid w:val="007F2F9F"/>
    <w:rsid w:val="0081423A"/>
    <w:rsid w:val="008176B4"/>
    <w:rsid w:val="00823B3E"/>
    <w:rsid w:val="008244D9"/>
    <w:rsid w:val="0082608E"/>
    <w:rsid w:val="00837836"/>
    <w:rsid w:val="0086158D"/>
    <w:rsid w:val="00862CB6"/>
    <w:rsid w:val="00867DDC"/>
    <w:rsid w:val="0088168A"/>
    <w:rsid w:val="00886873"/>
    <w:rsid w:val="0089528D"/>
    <w:rsid w:val="008A21FE"/>
    <w:rsid w:val="008A25B4"/>
    <w:rsid w:val="008A337C"/>
    <w:rsid w:val="008A5B12"/>
    <w:rsid w:val="008B2625"/>
    <w:rsid w:val="008C1BAD"/>
    <w:rsid w:val="008F5CA0"/>
    <w:rsid w:val="0090098C"/>
    <w:rsid w:val="0090189C"/>
    <w:rsid w:val="00910FA1"/>
    <w:rsid w:val="00912719"/>
    <w:rsid w:val="009138F0"/>
    <w:rsid w:val="009143ED"/>
    <w:rsid w:val="0093252C"/>
    <w:rsid w:val="00934624"/>
    <w:rsid w:val="00950C1F"/>
    <w:rsid w:val="00952CE4"/>
    <w:rsid w:val="0096622D"/>
    <w:rsid w:val="00966860"/>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69E7"/>
    <w:rsid w:val="00A174F4"/>
    <w:rsid w:val="00A178F2"/>
    <w:rsid w:val="00A34352"/>
    <w:rsid w:val="00A3571A"/>
    <w:rsid w:val="00A457D7"/>
    <w:rsid w:val="00A5300A"/>
    <w:rsid w:val="00A645A9"/>
    <w:rsid w:val="00A7712E"/>
    <w:rsid w:val="00A777D8"/>
    <w:rsid w:val="00A86063"/>
    <w:rsid w:val="00A9701D"/>
    <w:rsid w:val="00AA49A5"/>
    <w:rsid w:val="00AB2009"/>
    <w:rsid w:val="00AB7477"/>
    <w:rsid w:val="00AC42CD"/>
    <w:rsid w:val="00AC7851"/>
    <w:rsid w:val="00AD1AC6"/>
    <w:rsid w:val="00AD2709"/>
    <w:rsid w:val="00AE6A40"/>
    <w:rsid w:val="00AF2FB3"/>
    <w:rsid w:val="00AF6CE2"/>
    <w:rsid w:val="00AF6EA1"/>
    <w:rsid w:val="00B0208E"/>
    <w:rsid w:val="00B063F0"/>
    <w:rsid w:val="00B105A9"/>
    <w:rsid w:val="00B11787"/>
    <w:rsid w:val="00B12861"/>
    <w:rsid w:val="00B12C52"/>
    <w:rsid w:val="00B207D4"/>
    <w:rsid w:val="00B30C91"/>
    <w:rsid w:val="00B330CC"/>
    <w:rsid w:val="00B5069E"/>
    <w:rsid w:val="00B54B9D"/>
    <w:rsid w:val="00B664A8"/>
    <w:rsid w:val="00B76D1B"/>
    <w:rsid w:val="00B87566"/>
    <w:rsid w:val="00BA2615"/>
    <w:rsid w:val="00BA6680"/>
    <w:rsid w:val="00BA69CD"/>
    <w:rsid w:val="00BB2182"/>
    <w:rsid w:val="00BC0773"/>
    <w:rsid w:val="00BC083F"/>
    <w:rsid w:val="00BC23BD"/>
    <w:rsid w:val="00BE3D2E"/>
    <w:rsid w:val="00BF5A89"/>
    <w:rsid w:val="00C01EB0"/>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64C3"/>
    <w:rsid w:val="00DD3DF6"/>
    <w:rsid w:val="00DE4F85"/>
    <w:rsid w:val="00DF61B0"/>
    <w:rsid w:val="00DF74FA"/>
    <w:rsid w:val="00E07244"/>
    <w:rsid w:val="00E111B5"/>
    <w:rsid w:val="00E21E24"/>
    <w:rsid w:val="00E261F1"/>
    <w:rsid w:val="00E3545B"/>
    <w:rsid w:val="00E47850"/>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3AFD"/>
    <w:rsid w:val="00F7724A"/>
    <w:rsid w:val="00F836F7"/>
    <w:rsid w:val="00F950D0"/>
    <w:rsid w:val="00FB3D63"/>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 w:type="character" w:customStyle="1" w:styleId="211">
    <w:name w:val="Основной текст (2) + 11"/>
    <w:aliases w:val="5 pt,Не полужирный"/>
    <w:rsid w:val="00F836F7"/>
    <w:rPr>
      <w:rFonts w:ascii="Times New Roman" w:eastAsia="Times New Roman" w:hAnsi="Times New Roman" w:cs="Times New Roman" w:hint="default"/>
      <w:b/>
      <w:bCs/>
      <w:color w:val="000000"/>
      <w:spacing w:val="0"/>
      <w:w w:val="100"/>
      <w:position w:val="0"/>
      <w:sz w:val="23"/>
      <w:szCs w:val="23"/>
      <w:shd w:val="clear" w:color="auto" w:fill="FFFFFF"/>
      <w:lang w:val="uk-UA" w:eastAsia="uk-UA" w:bidi="uk-UA"/>
    </w:rPr>
  </w:style>
  <w:style w:type="paragraph" w:customStyle="1" w:styleId="12">
    <w:name w:val="Обычный1"/>
    <w:rsid w:val="00F836F7"/>
    <w:pPr>
      <w:widowControl w:val="0"/>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51B22-5034-4FE4-AE42-79FEE490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5258</Words>
  <Characters>2998</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KMU</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187</cp:revision>
  <cp:lastPrinted>2020-07-30T07:40:00Z</cp:lastPrinted>
  <dcterms:created xsi:type="dcterms:W3CDTF">2020-07-30T11:02:00Z</dcterms:created>
  <dcterms:modified xsi:type="dcterms:W3CDTF">2020-10-26T14:39:00Z</dcterms:modified>
</cp:coreProperties>
</file>