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AA6643">
        <w:rPr>
          <w:sz w:val="28"/>
          <w:szCs w:val="28"/>
          <w:lang w:val="uk-UA"/>
        </w:rPr>
        <w:t>Державної</w:t>
      </w:r>
      <w:r w:rsidRPr="000F09D9">
        <w:rPr>
          <w:sz w:val="28"/>
          <w:szCs w:val="28"/>
          <w:lang w:val="uk-UA"/>
        </w:rPr>
        <w:t xml:space="preserve"> інспекції енергетичного нагляду України</w:t>
      </w:r>
    </w:p>
    <w:p w:rsidR="00604299" w:rsidRDefault="00604299" w:rsidP="00604299">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F94E6A" w:rsidRDefault="008D7649" w:rsidP="00176FB1">
      <w:pPr>
        <w:pStyle w:val="Style5"/>
        <w:widowControl/>
        <w:spacing w:line="240" w:lineRule="auto"/>
        <w:ind w:right="280"/>
        <w:outlineLvl w:val="0"/>
        <w:rPr>
          <w:b/>
          <w:sz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посаду </w:t>
      </w:r>
    </w:p>
    <w:p w:rsidR="00C27BD5" w:rsidRPr="00832DCE" w:rsidRDefault="00F94E6A" w:rsidP="00176FB1">
      <w:pPr>
        <w:pStyle w:val="Style5"/>
        <w:widowControl/>
        <w:spacing w:line="240" w:lineRule="auto"/>
        <w:ind w:right="280"/>
        <w:outlineLvl w:val="0"/>
        <w:rPr>
          <w:b/>
          <w:sz w:val="28"/>
          <w:szCs w:val="28"/>
          <w:lang w:val="uk-UA"/>
        </w:rPr>
      </w:pPr>
      <w:r>
        <w:rPr>
          <w:b/>
          <w:sz w:val="28"/>
          <w:lang w:val="uk-UA"/>
        </w:rPr>
        <w:t xml:space="preserve">головного </w:t>
      </w:r>
      <w:r w:rsidRPr="00F94E6A">
        <w:rPr>
          <w:b/>
          <w:sz w:val="28"/>
          <w:szCs w:val="28"/>
          <w:lang w:val="uk-UA"/>
        </w:rPr>
        <w:t>спеціаліста</w:t>
      </w:r>
      <w:r w:rsidRPr="00F94E6A">
        <w:rPr>
          <w:b/>
          <w:sz w:val="28"/>
          <w:szCs w:val="28"/>
        </w:rPr>
        <w:t xml:space="preserve"> </w:t>
      </w:r>
      <w:proofErr w:type="spellStart"/>
      <w:r w:rsidRPr="00F94E6A">
        <w:rPr>
          <w:b/>
          <w:sz w:val="28"/>
          <w:szCs w:val="28"/>
        </w:rPr>
        <w:t>відділу</w:t>
      </w:r>
      <w:proofErr w:type="spellEnd"/>
      <w:r w:rsidRPr="00F94E6A">
        <w:rPr>
          <w:b/>
          <w:sz w:val="28"/>
          <w:szCs w:val="28"/>
        </w:rPr>
        <w:t xml:space="preserve"> </w:t>
      </w:r>
      <w:proofErr w:type="spellStart"/>
      <w:r w:rsidRPr="00F94E6A">
        <w:rPr>
          <w:b/>
          <w:sz w:val="28"/>
          <w:szCs w:val="28"/>
        </w:rPr>
        <w:t>роботи</w:t>
      </w:r>
      <w:proofErr w:type="spellEnd"/>
      <w:r w:rsidRPr="00F94E6A">
        <w:rPr>
          <w:b/>
          <w:sz w:val="28"/>
          <w:szCs w:val="28"/>
        </w:rPr>
        <w:t xml:space="preserve"> з персоналом, </w:t>
      </w:r>
      <w:proofErr w:type="spellStart"/>
      <w:r w:rsidRPr="00F94E6A">
        <w:rPr>
          <w:b/>
          <w:sz w:val="28"/>
          <w:szCs w:val="28"/>
        </w:rPr>
        <w:t>навчання</w:t>
      </w:r>
      <w:proofErr w:type="spellEnd"/>
      <w:r w:rsidRPr="00F94E6A">
        <w:rPr>
          <w:b/>
          <w:sz w:val="28"/>
          <w:szCs w:val="28"/>
        </w:rPr>
        <w:t xml:space="preserve"> та </w:t>
      </w:r>
      <w:proofErr w:type="spellStart"/>
      <w:r w:rsidRPr="00F94E6A">
        <w:rPr>
          <w:b/>
          <w:sz w:val="28"/>
          <w:szCs w:val="28"/>
        </w:rPr>
        <w:t>підвищення</w:t>
      </w:r>
      <w:proofErr w:type="spellEnd"/>
      <w:r w:rsidRPr="00F94E6A">
        <w:rPr>
          <w:b/>
          <w:sz w:val="28"/>
          <w:szCs w:val="28"/>
        </w:rPr>
        <w:t xml:space="preserve"> </w:t>
      </w:r>
      <w:proofErr w:type="spellStart"/>
      <w:r w:rsidRPr="00F94E6A">
        <w:rPr>
          <w:b/>
          <w:sz w:val="28"/>
          <w:szCs w:val="28"/>
        </w:rPr>
        <w:t>кваліфікації</w:t>
      </w:r>
      <w:proofErr w:type="spellEnd"/>
      <w:r w:rsidRPr="00F94E6A">
        <w:rPr>
          <w:b/>
          <w:sz w:val="28"/>
          <w:szCs w:val="28"/>
        </w:rPr>
        <w:t xml:space="preserve"> </w:t>
      </w:r>
      <w:proofErr w:type="spellStart"/>
      <w:r w:rsidRPr="00F94E6A">
        <w:rPr>
          <w:b/>
          <w:sz w:val="28"/>
          <w:szCs w:val="28"/>
        </w:rPr>
        <w:t>Управління</w:t>
      </w:r>
      <w:proofErr w:type="spellEnd"/>
      <w:r w:rsidRPr="00F94E6A">
        <w:rPr>
          <w:b/>
          <w:sz w:val="28"/>
          <w:szCs w:val="28"/>
        </w:rPr>
        <w:t xml:space="preserve"> по </w:t>
      </w:r>
      <w:proofErr w:type="spellStart"/>
      <w:r w:rsidRPr="00F94E6A">
        <w:rPr>
          <w:b/>
          <w:sz w:val="28"/>
          <w:szCs w:val="28"/>
        </w:rPr>
        <w:t>роботі</w:t>
      </w:r>
      <w:proofErr w:type="spellEnd"/>
      <w:r w:rsidRPr="00F94E6A">
        <w:rPr>
          <w:b/>
          <w:sz w:val="28"/>
          <w:szCs w:val="28"/>
        </w:rPr>
        <w:t xml:space="preserve"> з персоналом</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5672FC">
        <w:trPr>
          <w:trHeight w:val="418"/>
        </w:trPr>
        <w:tc>
          <w:tcPr>
            <w:tcW w:w="10296" w:type="dxa"/>
            <w:gridSpan w:val="3"/>
            <w:vAlign w:val="center"/>
          </w:tcPr>
          <w:p w:rsidR="008D7649" w:rsidRPr="00BD7379" w:rsidRDefault="008D7649" w:rsidP="00182A48">
            <w:pPr>
              <w:pStyle w:val="rvps12"/>
              <w:jc w:val="center"/>
              <w:rPr>
                <w:sz w:val="28"/>
                <w:szCs w:val="28"/>
              </w:rPr>
            </w:pPr>
            <w:r w:rsidRPr="00BD7379">
              <w:rPr>
                <w:sz w:val="28"/>
                <w:szCs w:val="28"/>
              </w:rPr>
              <w:t>Загальні умови</w:t>
            </w:r>
          </w:p>
        </w:tc>
      </w:tr>
      <w:tr w:rsidR="008D7649" w:rsidRPr="00F65916" w:rsidTr="00B83F99">
        <w:trPr>
          <w:trHeight w:val="176"/>
        </w:trPr>
        <w:tc>
          <w:tcPr>
            <w:tcW w:w="3814" w:type="dxa"/>
            <w:gridSpan w:val="2"/>
          </w:tcPr>
          <w:p w:rsidR="008D7649" w:rsidRDefault="008D7649" w:rsidP="00B83F99">
            <w:pPr>
              <w:pStyle w:val="rvps14"/>
              <w:ind w:right="126"/>
              <w:rPr>
                <w:sz w:val="28"/>
                <w:szCs w:val="28"/>
              </w:rPr>
            </w:pPr>
            <w:r w:rsidRPr="00F65916">
              <w:rPr>
                <w:sz w:val="28"/>
                <w:szCs w:val="28"/>
              </w:rPr>
              <w:t xml:space="preserve">Посадові обов’язки </w:t>
            </w:r>
          </w:p>
          <w:p w:rsidR="00F80F16" w:rsidRDefault="00F80F16" w:rsidP="00B83F99">
            <w:pPr>
              <w:pStyle w:val="rvps14"/>
              <w:ind w:right="126"/>
              <w:rPr>
                <w:sz w:val="28"/>
                <w:szCs w:val="28"/>
              </w:rPr>
            </w:pPr>
          </w:p>
          <w:p w:rsidR="00F80F16" w:rsidRDefault="00F80F16" w:rsidP="00B83F99">
            <w:pPr>
              <w:pStyle w:val="rvps14"/>
              <w:ind w:right="126"/>
              <w:rPr>
                <w:sz w:val="28"/>
                <w:szCs w:val="28"/>
              </w:rPr>
            </w:pPr>
          </w:p>
          <w:p w:rsidR="00F80F16" w:rsidRDefault="00F80F1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Default="009452D6" w:rsidP="00B83F99">
            <w:pPr>
              <w:pStyle w:val="rvps14"/>
              <w:ind w:right="126"/>
              <w:rPr>
                <w:sz w:val="28"/>
                <w:szCs w:val="28"/>
              </w:rPr>
            </w:pPr>
          </w:p>
          <w:p w:rsidR="009452D6" w:rsidRPr="00F65916" w:rsidRDefault="009452D6" w:rsidP="00B83F99">
            <w:pPr>
              <w:pStyle w:val="rvps14"/>
              <w:ind w:right="126"/>
              <w:rPr>
                <w:sz w:val="28"/>
                <w:szCs w:val="28"/>
              </w:rPr>
            </w:pPr>
          </w:p>
        </w:tc>
        <w:tc>
          <w:tcPr>
            <w:tcW w:w="6482" w:type="dxa"/>
            <w:vAlign w:val="center"/>
          </w:tcPr>
          <w:p w:rsidR="00E05A07" w:rsidRPr="00E05A07" w:rsidRDefault="00E05A07" w:rsidP="00E05A07">
            <w:pPr>
              <w:ind w:left="126" w:right="117" w:firstLine="284"/>
              <w:rPr>
                <w:szCs w:val="28"/>
              </w:rPr>
            </w:pPr>
            <w:bookmarkStart w:id="1" w:name="n44"/>
            <w:bookmarkStart w:id="2" w:name="n45"/>
            <w:bookmarkStart w:id="3" w:name="n50"/>
            <w:bookmarkStart w:id="4" w:name="n51"/>
            <w:bookmarkStart w:id="5" w:name="n55"/>
            <w:bookmarkEnd w:id="1"/>
            <w:bookmarkEnd w:id="2"/>
            <w:bookmarkEnd w:id="3"/>
            <w:bookmarkEnd w:id="4"/>
            <w:bookmarkEnd w:id="5"/>
            <w:r w:rsidRPr="00E05A07">
              <w:rPr>
                <w:szCs w:val="28"/>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 організовує процес адапта</w:t>
            </w:r>
            <w:r w:rsidR="00900091">
              <w:rPr>
                <w:szCs w:val="28"/>
              </w:rPr>
              <w:t>ції новопризначених працівників;</w:t>
            </w:r>
          </w:p>
          <w:p w:rsidR="00E05A07" w:rsidRPr="00E05A07" w:rsidRDefault="00900091" w:rsidP="00E05A07">
            <w:pPr>
              <w:ind w:left="126" w:right="117" w:firstLine="284"/>
              <w:rPr>
                <w:szCs w:val="28"/>
              </w:rPr>
            </w:pPr>
            <w:r>
              <w:rPr>
                <w:szCs w:val="28"/>
              </w:rPr>
              <w:t>о</w:t>
            </w:r>
            <w:r w:rsidR="00E05A07" w:rsidRPr="00E05A07">
              <w:rPr>
                <w:szCs w:val="28"/>
              </w:rPr>
              <w:t>рганізовує щорічне оцінювання результатів службової діяльності, відповідно до вимог законодавства та разом із державним службовцем складає індивідуальну програму підвищення рівня професійної компетентності за результатами оціню</w:t>
            </w:r>
            <w:r>
              <w:rPr>
                <w:szCs w:val="28"/>
              </w:rPr>
              <w:t>вання його службової діяльності;</w:t>
            </w:r>
          </w:p>
          <w:p w:rsidR="00E05A07" w:rsidRPr="00E05A07" w:rsidRDefault="00900091" w:rsidP="00E05A07">
            <w:pPr>
              <w:ind w:left="126" w:right="117" w:firstLine="284"/>
              <w:rPr>
                <w:szCs w:val="28"/>
              </w:rPr>
            </w:pPr>
            <w:r>
              <w:rPr>
                <w:szCs w:val="28"/>
              </w:rPr>
              <w:t>п</w:t>
            </w:r>
            <w:r w:rsidR="00E05A07" w:rsidRPr="00E05A07">
              <w:rPr>
                <w:szCs w:val="28"/>
              </w:rPr>
              <w:t xml:space="preserve">роводить оцінку потреби у навчанні, підвищенні кваліфікації, оцінку рівня професійної компетентності працівників апарату </w:t>
            </w:r>
            <w:proofErr w:type="spellStart"/>
            <w:r w:rsidR="00E05A07" w:rsidRPr="00E05A07">
              <w:rPr>
                <w:szCs w:val="28"/>
              </w:rPr>
              <w:t>Держенергонагляду</w:t>
            </w:r>
            <w:proofErr w:type="spellEnd"/>
            <w:r w:rsidR="00E05A07" w:rsidRPr="00E05A07">
              <w:rPr>
                <w:szCs w:val="28"/>
              </w:rPr>
              <w:t xml:space="preserve">, територіальних органів </w:t>
            </w:r>
            <w:r w:rsidR="004F29F3">
              <w:rPr>
                <w:szCs w:val="28"/>
              </w:rPr>
              <w:t>–</w:t>
            </w:r>
            <w:r w:rsidR="00E05A07" w:rsidRPr="00E05A07">
              <w:rPr>
                <w:szCs w:val="28"/>
              </w:rPr>
              <w:t xml:space="preserve"> структурних підрозділів</w:t>
            </w:r>
            <w:r>
              <w:rPr>
                <w:szCs w:val="28"/>
              </w:rPr>
              <w:t>;</w:t>
            </w:r>
          </w:p>
          <w:p w:rsidR="00E05A07" w:rsidRPr="00E05A07" w:rsidRDefault="00900091" w:rsidP="00E05A07">
            <w:pPr>
              <w:ind w:left="126" w:right="117" w:firstLine="284"/>
              <w:rPr>
                <w:szCs w:val="28"/>
              </w:rPr>
            </w:pPr>
            <w:r>
              <w:rPr>
                <w:szCs w:val="28"/>
              </w:rPr>
              <w:t>о</w:t>
            </w:r>
            <w:r w:rsidR="00E05A07" w:rsidRPr="00E05A07">
              <w:rPr>
                <w:szCs w:val="28"/>
              </w:rPr>
              <w:t>рганізовує роботу щодо стажування</w:t>
            </w:r>
            <w:r>
              <w:rPr>
                <w:szCs w:val="28"/>
              </w:rPr>
              <w:t xml:space="preserve"> державних службовців та молоді;</w:t>
            </w:r>
          </w:p>
          <w:p w:rsidR="00E05A07" w:rsidRPr="00E05A07" w:rsidRDefault="00900091" w:rsidP="00E05A07">
            <w:pPr>
              <w:ind w:left="126" w:right="117" w:firstLine="284"/>
              <w:rPr>
                <w:szCs w:val="28"/>
              </w:rPr>
            </w:pPr>
            <w:r>
              <w:rPr>
                <w:szCs w:val="28"/>
              </w:rPr>
              <w:t>о</w:t>
            </w:r>
            <w:r w:rsidR="00E05A07" w:rsidRPr="00E05A07">
              <w:rPr>
                <w:szCs w:val="28"/>
              </w:rPr>
              <w:t xml:space="preserve">рганізовує проведення внутрішніх навчань працівників апарату </w:t>
            </w:r>
            <w:proofErr w:type="spellStart"/>
            <w:r w:rsidR="00E05A07" w:rsidRPr="00E05A07">
              <w:rPr>
                <w:szCs w:val="28"/>
              </w:rPr>
              <w:t>Держенергонагляду</w:t>
            </w:r>
            <w:proofErr w:type="spellEnd"/>
            <w:r w:rsidR="00E05A07" w:rsidRPr="00E05A07">
              <w:rPr>
                <w:szCs w:val="28"/>
              </w:rPr>
              <w:t xml:space="preserve">, територіальних органів </w:t>
            </w:r>
            <w:r w:rsidR="004F29F3">
              <w:rPr>
                <w:szCs w:val="28"/>
              </w:rPr>
              <w:t>–</w:t>
            </w:r>
            <w:r w:rsidR="00E05A07" w:rsidRPr="00E05A07">
              <w:rPr>
                <w:szCs w:val="28"/>
              </w:rPr>
              <w:t xml:space="preserve"> структурних підрозділів, здійснює планування та організацію професійного навчання працівників апарату </w:t>
            </w:r>
            <w:proofErr w:type="spellStart"/>
            <w:r w:rsidR="00E05A07" w:rsidRPr="00E05A07">
              <w:rPr>
                <w:szCs w:val="28"/>
              </w:rPr>
              <w:t>Держенергонагляду</w:t>
            </w:r>
            <w:proofErr w:type="spellEnd"/>
            <w:r w:rsidR="00E05A07" w:rsidRPr="00E05A07">
              <w:rPr>
                <w:szCs w:val="28"/>
              </w:rPr>
              <w:t xml:space="preserve">, територіальних органів </w:t>
            </w:r>
            <w:r w:rsidR="004F29F3">
              <w:rPr>
                <w:szCs w:val="28"/>
              </w:rPr>
              <w:t>–</w:t>
            </w:r>
            <w:r w:rsidR="00E05A07" w:rsidRPr="00E05A07">
              <w:rPr>
                <w:szCs w:val="28"/>
              </w:rPr>
              <w:t xml:space="preserve"> структурних підрозділів та проводи</w:t>
            </w:r>
            <w:r>
              <w:rPr>
                <w:szCs w:val="28"/>
              </w:rPr>
              <w:t>ть оцінку ефективності навчання;</w:t>
            </w:r>
            <w:r w:rsidR="00E05A07" w:rsidRPr="00E05A07">
              <w:rPr>
                <w:szCs w:val="28"/>
              </w:rPr>
              <w:t xml:space="preserve"> </w:t>
            </w:r>
          </w:p>
          <w:p w:rsidR="00E05A07" w:rsidRPr="00E05A07" w:rsidRDefault="00900091" w:rsidP="00E05A07">
            <w:pPr>
              <w:ind w:left="126" w:right="117" w:firstLine="284"/>
              <w:rPr>
                <w:szCs w:val="28"/>
              </w:rPr>
            </w:pPr>
            <w:r>
              <w:rPr>
                <w:szCs w:val="28"/>
              </w:rPr>
              <w:t>о</w:t>
            </w:r>
            <w:r w:rsidR="00E05A07" w:rsidRPr="00E05A07">
              <w:rPr>
                <w:szCs w:val="28"/>
              </w:rPr>
              <w:t xml:space="preserve">рганізовує процес розроблення/зміни показників результативності, ефективності та якості роботи працівників апарату </w:t>
            </w:r>
            <w:proofErr w:type="spellStart"/>
            <w:r w:rsidR="00E05A07" w:rsidRPr="00E05A07">
              <w:rPr>
                <w:szCs w:val="28"/>
              </w:rPr>
              <w:t>Держенергонагляду</w:t>
            </w:r>
            <w:proofErr w:type="spellEnd"/>
            <w:r w:rsidR="00E05A07" w:rsidRPr="00E05A07">
              <w:rPr>
                <w:szCs w:val="28"/>
              </w:rPr>
              <w:t xml:space="preserve">, </w:t>
            </w:r>
            <w:r w:rsidR="00E05A07" w:rsidRPr="00E05A07">
              <w:rPr>
                <w:szCs w:val="28"/>
              </w:rPr>
              <w:lastRenderedPageBreak/>
              <w:t xml:space="preserve">територіальних органів </w:t>
            </w:r>
            <w:r w:rsidR="005F755A">
              <w:rPr>
                <w:szCs w:val="28"/>
              </w:rPr>
              <w:t>–</w:t>
            </w:r>
            <w:r w:rsidR="00E05A07" w:rsidRPr="00E05A07">
              <w:rPr>
                <w:szCs w:val="28"/>
              </w:rPr>
              <w:t xml:space="preserve"> структурних підрозділів та регулярну </w:t>
            </w:r>
            <w:r>
              <w:rPr>
                <w:szCs w:val="28"/>
              </w:rPr>
              <w:t>оцінку виконання цих показників;</w:t>
            </w:r>
          </w:p>
          <w:p w:rsidR="00E05A07" w:rsidRPr="00E05A07" w:rsidRDefault="00900091" w:rsidP="00E05A07">
            <w:pPr>
              <w:ind w:left="126" w:right="117" w:firstLine="284"/>
              <w:rPr>
                <w:szCs w:val="28"/>
              </w:rPr>
            </w:pPr>
            <w:r>
              <w:rPr>
                <w:szCs w:val="28"/>
              </w:rPr>
              <w:t>р</w:t>
            </w:r>
            <w:r w:rsidR="00E05A07" w:rsidRPr="00E05A07">
              <w:rPr>
                <w:szCs w:val="28"/>
              </w:rPr>
              <w:t xml:space="preserve">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надає консультативну допомогу з питань управління персоналом керівникам структурних підрозділів </w:t>
            </w:r>
            <w:proofErr w:type="spellStart"/>
            <w:r w:rsidR="00E05A07" w:rsidRPr="00E05A07">
              <w:rPr>
                <w:szCs w:val="28"/>
              </w:rPr>
              <w:t>Держенергонагляду</w:t>
            </w:r>
            <w:proofErr w:type="spellEnd"/>
            <w:r w:rsidR="00E05A07" w:rsidRPr="00E05A07">
              <w:rPr>
                <w:szCs w:val="28"/>
              </w:rPr>
              <w:t xml:space="preserve">, територіальних органів </w:t>
            </w:r>
            <w:r w:rsidR="005F755A">
              <w:rPr>
                <w:szCs w:val="28"/>
              </w:rPr>
              <w:t>–</w:t>
            </w:r>
            <w:r w:rsidR="00E05A07" w:rsidRPr="00E05A07">
              <w:rPr>
                <w:szCs w:val="28"/>
              </w:rPr>
              <w:t xml:space="preserve"> структурних пі</w:t>
            </w:r>
            <w:r>
              <w:rPr>
                <w:szCs w:val="28"/>
              </w:rPr>
              <w:t>дрозділів;</w:t>
            </w:r>
          </w:p>
          <w:p w:rsidR="00E05A07" w:rsidRPr="00E05A07" w:rsidRDefault="00900091" w:rsidP="00E05A07">
            <w:pPr>
              <w:ind w:left="126" w:right="117" w:firstLine="284"/>
              <w:rPr>
                <w:szCs w:val="28"/>
              </w:rPr>
            </w:pPr>
            <w:r>
              <w:rPr>
                <w:szCs w:val="28"/>
              </w:rPr>
              <w:t>р</w:t>
            </w:r>
            <w:r w:rsidR="00E05A07" w:rsidRPr="00E05A07">
              <w:rPr>
                <w:szCs w:val="28"/>
              </w:rPr>
              <w:t xml:space="preserve">озробляє і бере участь у розробленні </w:t>
            </w:r>
            <w:proofErr w:type="spellStart"/>
            <w:r w:rsidR="00E05A07" w:rsidRPr="00E05A07">
              <w:rPr>
                <w:szCs w:val="28"/>
              </w:rPr>
              <w:t>проєктів</w:t>
            </w:r>
            <w:proofErr w:type="spellEnd"/>
            <w:r w:rsidR="00E05A07" w:rsidRPr="00E05A07">
              <w:rPr>
                <w:szCs w:val="28"/>
              </w:rPr>
              <w:t xml:space="preserve"> нормативно-правових актів, що стосуються питань управління персоналом, трудов</w:t>
            </w:r>
            <w:r>
              <w:rPr>
                <w:szCs w:val="28"/>
              </w:rPr>
              <w:t>их відносин та державної служби;</w:t>
            </w:r>
          </w:p>
          <w:p w:rsidR="00F80F16" w:rsidRPr="000F09D9" w:rsidRDefault="00900091" w:rsidP="00E05A07">
            <w:pPr>
              <w:ind w:left="126" w:right="117" w:firstLine="284"/>
              <w:rPr>
                <w:szCs w:val="28"/>
              </w:rPr>
            </w:pPr>
            <w:r>
              <w:rPr>
                <w:szCs w:val="28"/>
              </w:rPr>
              <w:t>з</w:t>
            </w:r>
            <w:r w:rsidR="00E05A07" w:rsidRPr="00E05A07">
              <w:rPr>
                <w:szCs w:val="28"/>
              </w:rPr>
              <w:t>дійснює контроль за додержанням законодавства про працю та станом управління персоналом в територіальних органах.</w:t>
            </w:r>
          </w:p>
        </w:tc>
      </w:tr>
      <w:tr w:rsidR="00E90F70" w:rsidRPr="00635A83" w:rsidTr="005672FC">
        <w:trPr>
          <w:trHeight w:val="1026"/>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5F755A">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4D6DAE">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4D6DAE">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4D6DAE">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4D6DAE">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F95192" w:rsidRPr="00F95192" w:rsidRDefault="00E90F70" w:rsidP="00F95192">
            <w:pPr>
              <w:tabs>
                <w:tab w:val="left" w:pos="709"/>
              </w:tabs>
              <w:ind w:left="102" w:right="139" w:firstLine="24"/>
              <w:rPr>
                <w:szCs w:val="28"/>
              </w:rPr>
            </w:pPr>
            <w:r w:rsidRPr="00E90F70">
              <w:rPr>
                <w:szCs w:val="28"/>
              </w:rPr>
              <w:t xml:space="preserve">2. </w:t>
            </w:r>
            <w:r w:rsidR="00F95192" w:rsidRPr="00F95192">
              <w:rPr>
                <w:szCs w:val="28"/>
              </w:rPr>
              <w:t xml:space="preserve">Резюме за формою згідно з додатком 21 до Порядку проведення конкурсу на зайняття посад державної служби, затвердженого постановою Кабінету Міністрів України від 25 березня  </w:t>
            </w:r>
            <w:r w:rsidR="00AA6643">
              <w:rPr>
                <w:szCs w:val="28"/>
              </w:rPr>
              <w:t xml:space="preserve">                2016 року № 246</w:t>
            </w:r>
            <w:r w:rsidR="00F95192" w:rsidRPr="00F95192">
              <w:rPr>
                <w:szCs w:val="28"/>
              </w:rPr>
              <w:t xml:space="preserve"> (зі змінами), в якому обов’язково зазначається така інформація:</w:t>
            </w:r>
          </w:p>
          <w:p w:rsidR="00F95192" w:rsidRPr="00F95192" w:rsidRDefault="00F95192" w:rsidP="002F059F">
            <w:pPr>
              <w:tabs>
                <w:tab w:val="left" w:pos="709"/>
              </w:tabs>
              <w:ind w:left="260" w:right="139" w:firstLine="0"/>
              <w:rPr>
                <w:szCs w:val="28"/>
              </w:rPr>
            </w:pPr>
            <w:r w:rsidRPr="00F95192">
              <w:rPr>
                <w:szCs w:val="28"/>
              </w:rPr>
              <w:t>- прізвище, ім’я, по батькові кандидата;</w:t>
            </w:r>
          </w:p>
          <w:p w:rsidR="00F95192" w:rsidRPr="00F95192" w:rsidRDefault="00F95192" w:rsidP="002F059F">
            <w:pPr>
              <w:tabs>
                <w:tab w:val="left" w:pos="709"/>
              </w:tabs>
              <w:ind w:left="260" w:right="139" w:firstLine="0"/>
              <w:rPr>
                <w:szCs w:val="28"/>
              </w:rPr>
            </w:pPr>
            <w:r w:rsidRPr="00F95192">
              <w:rPr>
                <w:szCs w:val="28"/>
              </w:rPr>
              <w:t>- реквізити документа, що посвідчує особу та підтверджує громадянство України;</w:t>
            </w:r>
          </w:p>
          <w:p w:rsidR="00F95192" w:rsidRPr="00F95192" w:rsidRDefault="00F95192" w:rsidP="002F059F">
            <w:pPr>
              <w:tabs>
                <w:tab w:val="left" w:pos="709"/>
              </w:tabs>
              <w:ind w:left="260" w:right="139" w:firstLine="0"/>
              <w:rPr>
                <w:szCs w:val="28"/>
              </w:rPr>
            </w:pPr>
            <w:r w:rsidRPr="00F95192">
              <w:rPr>
                <w:szCs w:val="28"/>
              </w:rPr>
              <w:lastRenderedPageBreak/>
              <w:t>- підтвердження наявності відповідного ступеня вищої освіти;</w:t>
            </w:r>
          </w:p>
          <w:p w:rsidR="00F95192" w:rsidRPr="00F95192" w:rsidRDefault="00F95192" w:rsidP="002F059F">
            <w:pPr>
              <w:tabs>
                <w:tab w:val="left" w:pos="709"/>
              </w:tabs>
              <w:ind w:left="260" w:right="139" w:firstLine="0"/>
              <w:rPr>
                <w:szCs w:val="28"/>
              </w:rPr>
            </w:pPr>
            <w:r w:rsidRPr="00F95192">
              <w:rPr>
                <w:szCs w:val="28"/>
              </w:rPr>
              <w:t>- підтвердження рівня вільного володіння державною мовою;</w:t>
            </w:r>
          </w:p>
          <w:p w:rsidR="00E90F70" w:rsidRPr="00E90F70" w:rsidRDefault="00F95192" w:rsidP="002F059F">
            <w:pPr>
              <w:tabs>
                <w:tab w:val="left" w:pos="709"/>
              </w:tabs>
              <w:ind w:left="260" w:right="139" w:firstLine="0"/>
              <w:rPr>
                <w:szCs w:val="28"/>
              </w:rPr>
            </w:pPr>
            <w:r w:rsidRPr="00F95192">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16140C" w:rsidRPr="0016140C">
              <w:rPr>
                <w:szCs w:val="28"/>
              </w:rPr>
              <w:t>.</w:t>
            </w:r>
          </w:p>
          <w:p w:rsidR="00123473" w:rsidRDefault="00123473"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2305A6" w:rsidP="002305A6">
            <w:pPr>
              <w:pStyle w:val="ab"/>
              <w:ind w:left="126" w:right="97" w:firstLine="0"/>
              <w:jc w:val="both"/>
              <w:rPr>
                <w:rFonts w:ascii="Times New Roman" w:hAnsi="Times New Roman"/>
                <w:sz w:val="28"/>
                <w:szCs w:val="28"/>
              </w:rPr>
            </w:pPr>
            <w:r w:rsidRPr="002305A6">
              <w:rPr>
                <w:rFonts w:ascii="Times New Roman" w:eastAsia="Calibri" w:hAnsi="Times New Roman"/>
                <w:sz w:val="28"/>
                <w:szCs w:val="28"/>
              </w:rPr>
              <w:t xml:space="preserve">Інформація приймається до 18 год. 00 хв. </w:t>
            </w:r>
            <w:r w:rsidR="007335C1">
              <w:rPr>
                <w:rFonts w:ascii="Times New Roman" w:eastAsia="Calibri" w:hAnsi="Times New Roman"/>
                <w:sz w:val="28"/>
                <w:szCs w:val="28"/>
              </w:rPr>
              <w:t xml:space="preserve">                              </w:t>
            </w:r>
            <w:r w:rsidRPr="002305A6">
              <w:rPr>
                <w:rFonts w:ascii="Times New Roman" w:eastAsia="Calibri" w:hAnsi="Times New Roman"/>
                <w:sz w:val="28"/>
                <w:szCs w:val="28"/>
              </w:rPr>
              <w:t xml:space="preserve">05 березня 2020 року </w:t>
            </w:r>
            <w:r w:rsidRPr="002305A6">
              <w:rPr>
                <w:rFonts w:ascii="Times New Roman" w:eastAsia="Calibri" w:hAnsi="Times New Roman"/>
                <w:b/>
                <w:sz w:val="28"/>
                <w:szCs w:val="28"/>
              </w:rPr>
              <w:t>виключно через Єдиний портал вакансій державної служби за посиланням</w:t>
            </w:r>
            <w:r w:rsidRPr="002305A6">
              <w:rPr>
                <w:rFonts w:ascii="Times New Roman" w:eastAsia="Calibri" w:hAnsi="Times New Roman"/>
                <w:sz w:val="28"/>
                <w:szCs w:val="28"/>
              </w:rPr>
              <w:t xml:space="preserve">: </w:t>
            </w:r>
            <w:hyperlink r:id="rId7" w:history="1">
              <w:r w:rsidRPr="002305A6">
                <w:rPr>
                  <w:rFonts w:ascii="Times New Roman" w:eastAsia="Calibri" w:hAnsi="Times New Roman"/>
                  <w:color w:val="0000FF"/>
                  <w:sz w:val="28"/>
                  <w:szCs w:val="28"/>
                  <w:u w:val="single"/>
                </w:rPr>
                <w:t>https://career.gov.ua/</w:t>
              </w:r>
            </w:hyperlink>
          </w:p>
        </w:tc>
      </w:tr>
      <w:tr w:rsidR="00E90F70" w:rsidRPr="00944710" w:rsidTr="0012347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123473">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4D6DAE" w:rsidP="00E90F70">
            <w:pPr>
              <w:tabs>
                <w:tab w:val="left" w:pos="709"/>
              </w:tabs>
              <w:ind w:left="102" w:right="139" w:firstLine="391"/>
              <w:rPr>
                <w:szCs w:val="28"/>
              </w:rPr>
            </w:pPr>
            <w:r w:rsidRPr="004D6DAE">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w:t>
            </w:r>
            <w:r>
              <w:rPr>
                <w:szCs w:val="28"/>
              </w:rPr>
              <w:t xml:space="preserve">               2016 року № 246 </w:t>
            </w:r>
            <w:r w:rsidRPr="004D6DAE">
              <w:rPr>
                <w:szCs w:val="28"/>
              </w:rPr>
              <w:t>(зі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12347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123473">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2305A6">
              <w:rPr>
                <w:szCs w:val="28"/>
              </w:rPr>
              <w:t xml:space="preserve">Початок тестування о </w:t>
            </w:r>
            <w:r w:rsidR="00803577" w:rsidRPr="002305A6">
              <w:rPr>
                <w:szCs w:val="28"/>
              </w:rPr>
              <w:t>16</w:t>
            </w:r>
            <w:r w:rsidR="00B51059">
              <w:rPr>
                <w:szCs w:val="28"/>
              </w:rPr>
              <w:t xml:space="preserve"> год. 00 хв.</w:t>
            </w:r>
            <w:r w:rsidRPr="002305A6">
              <w:rPr>
                <w:szCs w:val="28"/>
              </w:rPr>
              <w:t xml:space="preserve">                              </w:t>
            </w:r>
            <w:r w:rsidR="00803577" w:rsidRPr="002305A6">
              <w:rPr>
                <w:szCs w:val="28"/>
                <w:lang w:val="ru-RU"/>
              </w:rPr>
              <w:t xml:space="preserve">10 </w:t>
            </w:r>
            <w:r w:rsidR="00803577" w:rsidRPr="002305A6">
              <w:rPr>
                <w:szCs w:val="28"/>
              </w:rPr>
              <w:t>березня</w:t>
            </w:r>
            <w:r w:rsidR="002305A6" w:rsidRPr="002305A6">
              <w:rPr>
                <w:szCs w:val="28"/>
              </w:rPr>
              <w:t xml:space="preserve"> 2020</w:t>
            </w:r>
            <w:r w:rsidRPr="002305A6">
              <w:rPr>
                <w:szCs w:val="28"/>
              </w:rPr>
              <w:t xml:space="preserve"> року за </w:t>
            </w:r>
            <w:proofErr w:type="spellStart"/>
            <w:r w:rsidRPr="002305A6">
              <w:rPr>
                <w:szCs w:val="28"/>
              </w:rPr>
              <w:t>адресою</w:t>
            </w:r>
            <w:proofErr w:type="spellEnd"/>
            <w:r w:rsidRPr="002305A6">
              <w:rPr>
                <w:szCs w:val="28"/>
              </w:rPr>
              <w:t>: м. Київ, вул. Прорізна</w:t>
            </w:r>
            <w:r w:rsidR="00B51059">
              <w:rPr>
                <w:szCs w:val="28"/>
              </w:rPr>
              <w:t>,</w:t>
            </w:r>
            <w:r w:rsidRPr="002305A6">
              <w:rPr>
                <w:szCs w:val="28"/>
              </w:rPr>
              <w:t xml:space="preserve"> буд. 15, Центр оцінювання кандидатів на зайняття</w:t>
            </w:r>
            <w:r w:rsidRPr="00E90F70">
              <w:rPr>
                <w:szCs w:val="28"/>
              </w:rPr>
              <w:t xml:space="preserve"> посад державної служби, </w:t>
            </w:r>
            <w:r w:rsidR="00B51059">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7335C1">
            <w:pPr>
              <w:tabs>
                <w:tab w:val="left" w:pos="709"/>
              </w:tabs>
              <w:ind w:left="114" w:right="139" w:firstLine="284"/>
              <w:rPr>
                <w:szCs w:val="28"/>
              </w:rPr>
            </w:pPr>
            <w:r>
              <w:rPr>
                <w:szCs w:val="28"/>
              </w:rPr>
              <w:lastRenderedPageBreak/>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5672FC">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5672FC">
        <w:trPr>
          <w:trHeight w:val="623"/>
        </w:trPr>
        <w:tc>
          <w:tcPr>
            <w:tcW w:w="10296" w:type="dxa"/>
            <w:gridSpan w:val="3"/>
            <w:vAlign w:val="center"/>
          </w:tcPr>
          <w:p w:rsidR="00E90F70" w:rsidRPr="00BD7379" w:rsidRDefault="00E90F70" w:rsidP="002837D8">
            <w:pPr>
              <w:pStyle w:val="rvps12"/>
              <w:jc w:val="center"/>
              <w:rPr>
                <w:sz w:val="28"/>
                <w:szCs w:val="28"/>
              </w:rPr>
            </w:pPr>
            <w:r w:rsidRPr="00BD7379">
              <w:rPr>
                <w:sz w:val="28"/>
                <w:szCs w:val="28"/>
              </w:rPr>
              <w:t>Кваліфікаційні вимоги</w:t>
            </w:r>
          </w:p>
        </w:tc>
      </w:tr>
      <w:tr w:rsidR="00E90F70" w:rsidRPr="00606561" w:rsidTr="001E02C9">
        <w:trPr>
          <w:trHeight w:val="386"/>
        </w:trPr>
        <w:tc>
          <w:tcPr>
            <w:tcW w:w="913" w:type="dxa"/>
          </w:tcPr>
          <w:p w:rsidR="00E90F70" w:rsidRPr="00F65916" w:rsidRDefault="00E90F70" w:rsidP="001E02C9">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1E02C9">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1E02C9">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1E02C9">
        <w:trPr>
          <w:trHeight w:val="473"/>
        </w:trPr>
        <w:tc>
          <w:tcPr>
            <w:tcW w:w="913" w:type="dxa"/>
          </w:tcPr>
          <w:p w:rsidR="00E90F70" w:rsidRPr="00F65916" w:rsidRDefault="00E90F70" w:rsidP="001E02C9">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1E02C9">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1E02C9">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1E02C9">
        <w:trPr>
          <w:trHeight w:val="436"/>
        </w:trPr>
        <w:tc>
          <w:tcPr>
            <w:tcW w:w="913" w:type="dxa"/>
          </w:tcPr>
          <w:p w:rsidR="00E90F70" w:rsidRPr="00F65916" w:rsidRDefault="00E90F70" w:rsidP="001E02C9">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1E02C9">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1E02C9">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1E02C9">
        <w:trPr>
          <w:trHeight w:val="436"/>
        </w:trPr>
        <w:tc>
          <w:tcPr>
            <w:tcW w:w="913" w:type="dxa"/>
          </w:tcPr>
          <w:p w:rsidR="00E90F70" w:rsidRPr="00F65916" w:rsidRDefault="00E90F70" w:rsidP="001E02C9">
            <w:pPr>
              <w:pStyle w:val="rvps12"/>
              <w:jc w:val="center"/>
              <w:rPr>
                <w:sz w:val="28"/>
                <w:szCs w:val="28"/>
              </w:rPr>
            </w:pPr>
            <w:r>
              <w:rPr>
                <w:sz w:val="28"/>
                <w:szCs w:val="28"/>
              </w:rPr>
              <w:t>4.</w:t>
            </w:r>
          </w:p>
        </w:tc>
        <w:tc>
          <w:tcPr>
            <w:tcW w:w="2901" w:type="dxa"/>
          </w:tcPr>
          <w:p w:rsidR="00E90F70" w:rsidRPr="0090784A" w:rsidRDefault="00E90F70" w:rsidP="001E02C9">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1E02C9">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5672FC">
        <w:trPr>
          <w:trHeight w:val="588"/>
        </w:trPr>
        <w:tc>
          <w:tcPr>
            <w:tcW w:w="10296" w:type="dxa"/>
            <w:gridSpan w:val="3"/>
            <w:vAlign w:val="center"/>
          </w:tcPr>
          <w:p w:rsidR="00E90F70" w:rsidRPr="00BD7379" w:rsidRDefault="00E90F70" w:rsidP="002837D8">
            <w:pPr>
              <w:pStyle w:val="rvps14"/>
              <w:spacing w:before="0" w:beforeAutospacing="0" w:after="0" w:afterAutospacing="0"/>
              <w:ind w:left="127"/>
              <w:jc w:val="center"/>
              <w:rPr>
                <w:rStyle w:val="rvts0"/>
                <w:sz w:val="28"/>
                <w:szCs w:val="28"/>
              </w:rPr>
            </w:pPr>
            <w:r w:rsidRPr="00BD7379">
              <w:rPr>
                <w:rStyle w:val="rvts0"/>
                <w:sz w:val="28"/>
                <w:szCs w:val="28"/>
              </w:rPr>
              <w:t>Вимоги до компетентності</w:t>
            </w:r>
          </w:p>
        </w:tc>
      </w:tr>
      <w:tr w:rsidR="00E90F70" w:rsidRPr="004462EC" w:rsidTr="005672FC">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0621E6">
        <w:trPr>
          <w:trHeight w:val="798"/>
        </w:trPr>
        <w:tc>
          <w:tcPr>
            <w:tcW w:w="913" w:type="dxa"/>
          </w:tcPr>
          <w:p w:rsidR="00E90F70" w:rsidRPr="00E37899" w:rsidRDefault="00E90F70" w:rsidP="000621E6">
            <w:pPr>
              <w:ind w:firstLine="413"/>
              <w:rPr>
                <w:szCs w:val="28"/>
                <w:lang w:eastAsia="uk-UA"/>
              </w:rPr>
            </w:pPr>
            <w:r w:rsidRPr="00E37899">
              <w:rPr>
                <w:szCs w:val="28"/>
                <w:lang w:eastAsia="uk-UA"/>
              </w:rPr>
              <w:t>1</w:t>
            </w:r>
            <w:r>
              <w:rPr>
                <w:szCs w:val="28"/>
                <w:lang w:eastAsia="uk-UA"/>
              </w:rPr>
              <w:t>.</w:t>
            </w:r>
          </w:p>
          <w:p w:rsidR="00E90F70" w:rsidRPr="00E37899" w:rsidRDefault="00E90F70" w:rsidP="000621E6">
            <w:pPr>
              <w:jc w:val="center"/>
              <w:rPr>
                <w:szCs w:val="28"/>
                <w:lang w:eastAsia="uk-UA"/>
              </w:rPr>
            </w:pPr>
          </w:p>
        </w:tc>
        <w:tc>
          <w:tcPr>
            <w:tcW w:w="2901" w:type="dxa"/>
          </w:tcPr>
          <w:p w:rsidR="00E90F70" w:rsidRPr="00E37899" w:rsidRDefault="00E90F70" w:rsidP="002837D8">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0621E6">
        <w:trPr>
          <w:trHeight w:val="757"/>
        </w:trPr>
        <w:tc>
          <w:tcPr>
            <w:tcW w:w="913" w:type="dxa"/>
          </w:tcPr>
          <w:p w:rsidR="00E90F70" w:rsidRPr="00E37899" w:rsidRDefault="00E90F70" w:rsidP="000621E6">
            <w:pPr>
              <w:ind w:firstLine="413"/>
              <w:rPr>
                <w:szCs w:val="28"/>
                <w:lang w:eastAsia="uk-UA"/>
              </w:rPr>
            </w:pPr>
            <w:r w:rsidRPr="00E37899">
              <w:rPr>
                <w:szCs w:val="28"/>
                <w:lang w:eastAsia="uk-UA"/>
              </w:rPr>
              <w:t>2</w:t>
            </w:r>
            <w:r>
              <w:rPr>
                <w:szCs w:val="28"/>
                <w:lang w:eastAsia="uk-UA"/>
              </w:rPr>
              <w:t>.</w:t>
            </w:r>
          </w:p>
          <w:p w:rsidR="00E90F70" w:rsidRPr="00E37899" w:rsidRDefault="00E90F70" w:rsidP="000621E6">
            <w:pPr>
              <w:jc w:val="center"/>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0621E6">
        <w:trPr>
          <w:trHeight w:val="737"/>
        </w:trPr>
        <w:tc>
          <w:tcPr>
            <w:tcW w:w="913" w:type="dxa"/>
          </w:tcPr>
          <w:p w:rsidR="00E90F70" w:rsidRPr="00E37899" w:rsidRDefault="00E90F70" w:rsidP="000621E6">
            <w:pPr>
              <w:ind w:firstLine="413"/>
              <w:rPr>
                <w:szCs w:val="28"/>
                <w:lang w:eastAsia="uk-UA"/>
              </w:rPr>
            </w:pPr>
            <w:r w:rsidRPr="00E37899">
              <w:rPr>
                <w:szCs w:val="28"/>
                <w:lang w:eastAsia="uk-UA"/>
              </w:rPr>
              <w:t>3</w:t>
            </w:r>
            <w:r>
              <w:rPr>
                <w:szCs w:val="28"/>
                <w:lang w:eastAsia="uk-UA"/>
              </w:rPr>
              <w:t>.</w:t>
            </w:r>
          </w:p>
          <w:p w:rsidR="00E90F70" w:rsidRPr="00E37899" w:rsidRDefault="00E90F70" w:rsidP="000621E6">
            <w:pPr>
              <w:jc w:val="center"/>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0621E6">
        <w:trPr>
          <w:trHeight w:val="813"/>
        </w:trPr>
        <w:tc>
          <w:tcPr>
            <w:tcW w:w="913" w:type="dxa"/>
          </w:tcPr>
          <w:p w:rsidR="00E90F70" w:rsidRPr="00E37899" w:rsidRDefault="00E90F70" w:rsidP="000621E6">
            <w:pPr>
              <w:ind w:firstLine="413"/>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2837D8">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5672FC" w:rsidRPr="00E37899" w:rsidTr="000621E6">
        <w:trPr>
          <w:trHeight w:val="813"/>
        </w:trPr>
        <w:tc>
          <w:tcPr>
            <w:tcW w:w="913" w:type="dxa"/>
          </w:tcPr>
          <w:p w:rsidR="005672FC" w:rsidRPr="00E37899" w:rsidRDefault="005672FC" w:rsidP="000621E6">
            <w:pPr>
              <w:ind w:firstLine="413"/>
              <w:rPr>
                <w:szCs w:val="28"/>
                <w:lang w:eastAsia="uk-UA"/>
              </w:rPr>
            </w:pPr>
            <w:r>
              <w:rPr>
                <w:szCs w:val="28"/>
                <w:lang w:eastAsia="uk-UA"/>
              </w:rPr>
              <w:t>5.</w:t>
            </w:r>
          </w:p>
        </w:tc>
        <w:tc>
          <w:tcPr>
            <w:tcW w:w="2901" w:type="dxa"/>
          </w:tcPr>
          <w:p w:rsidR="005672FC" w:rsidRPr="00E37899" w:rsidRDefault="005672FC" w:rsidP="002837D8">
            <w:pPr>
              <w:ind w:firstLine="0"/>
              <w:jc w:val="left"/>
              <w:rPr>
                <w:bCs/>
                <w:szCs w:val="28"/>
              </w:rPr>
            </w:pPr>
            <w:r w:rsidRPr="005672FC">
              <w:rPr>
                <w:bCs/>
                <w:szCs w:val="28"/>
              </w:rPr>
              <w:t>Необхідні знання для виконання посадових обов’язків</w:t>
            </w:r>
          </w:p>
        </w:tc>
        <w:tc>
          <w:tcPr>
            <w:tcW w:w="6482" w:type="dxa"/>
          </w:tcPr>
          <w:p w:rsidR="005672FC" w:rsidRPr="00D3773A" w:rsidRDefault="005672FC" w:rsidP="00C47612">
            <w:pPr>
              <w:pStyle w:val="a9"/>
              <w:ind w:left="118" w:right="238"/>
              <w:jc w:val="both"/>
              <w:rPr>
                <w:sz w:val="28"/>
                <w:szCs w:val="28"/>
              </w:rPr>
            </w:pPr>
            <w:r w:rsidRPr="00D3773A">
              <w:rPr>
                <w:sz w:val="28"/>
                <w:szCs w:val="28"/>
              </w:rPr>
              <w:t>1.</w:t>
            </w:r>
            <w:r w:rsidR="008340CB">
              <w:rPr>
                <w:sz w:val="28"/>
                <w:szCs w:val="28"/>
              </w:rPr>
              <w:t xml:space="preserve"> </w:t>
            </w:r>
            <w:r w:rsidRPr="00D3773A">
              <w:rPr>
                <w:sz w:val="28"/>
                <w:szCs w:val="28"/>
              </w:rPr>
              <w:t>К</w:t>
            </w:r>
            <w:r w:rsidR="00123473" w:rsidRPr="00D3773A">
              <w:rPr>
                <w:sz w:val="28"/>
                <w:szCs w:val="28"/>
              </w:rPr>
              <w:t>одекс законів про працю України.</w:t>
            </w:r>
          </w:p>
          <w:p w:rsidR="005672FC" w:rsidRPr="00D3773A" w:rsidRDefault="005672FC" w:rsidP="00C47612">
            <w:pPr>
              <w:pStyle w:val="a9"/>
              <w:ind w:left="118" w:right="238"/>
              <w:jc w:val="both"/>
              <w:rPr>
                <w:sz w:val="28"/>
                <w:szCs w:val="28"/>
              </w:rPr>
            </w:pPr>
            <w:r w:rsidRPr="00D3773A">
              <w:rPr>
                <w:sz w:val="28"/>
                <w:szCs w:val="28"/>
              </w:rPr>
              <w:t>2.</w:t>
            </w:r>
            <w:r w:rsidR="00123473" w:rsidRPr="00D3773A">
              <w:t xml:space="preserve"> </w:t>
            </w:r>
            <w:r w:rsidR="00123473" w:rsidRPr="00D3773A">
              <w:rPr>
                <w:sz w:val="28"/>
                <w:szCs w:val="28"/>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затверджене постановою Кабінету Міністрів України від 06 лютого 2019 року № 106.</w:t>
            </w:r>
          </w:p>
          <w:p w:rsidR="005672FC" w:rsidRPr="0026638B" w:rsidRDefault="005672FC" w:rsidP="00C47612">
            <w:pPr>
              <w:pStyle w:val="a9"/>
              <w:ind w:left="118" w:right="238"/>
              <w:jc w:val="both"/>
              <w:rPr>
                <w:sz w:val="28"/>
                <w:szCs w:val="28"/>
              </w:rPr>
            </w:pPr>
            <w:r w:rsidRPr="00D3773A">
              <w:rPr>
                <w:sz w:val="28"/>
                <w:szCs w:val="28"/>
              </w:rPr>
              <w:lastRenderedPageBreak/>
              <w:t>3.</w:t>
            </w:r>
            <w:r w:rsidR="00C47612">
              <w:t xml:space="preserve"> </w:t>
            </w:r>
            <w:r w:rsidRPr="00D3773A">
              <w:rPr>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123473" w:rsidRPr="00D3773A">
              <w:rPr>
                <w:sz w:val="28"/>
                <w:szCs w:val="28"/>
              </w:rPr>
              <w:t xml:space="preserve">                      </w:t>
            </w:r>
            <w:r w:rsidRPr="00D3773A">
              <w:rPr>
                <w:sz w:val="28"/>
                <w:szCs w:val="28"/>
              </w:rPr>
              <w:t>від 14 лютого 2018 року № 77 (зі змінами).</w:t>
            </w:r>
          </w:p>
        </w:tc>
      </w:tr>
      <w:tr w:rsidR="00E90F70" w:rsidRPr="00606561" w:rsidTr="005672FC">
        <w:trPr>
          <w:trHeight w:val="588"/>
        </w:trPr>
        <w:tc>
          <w:tcPr>
            <w:tcW w:w="10296" w:type="dxa"/>
            <w:gridSpan w:val="3"/>
            <w:vAlign w:val="center"/>
          </w:tcPr>
          <w:p w:rsidR="00E90F70" w:rsidRPr="00BD7379" w:rsidRDefault="00E90F70" w:rsidP="002837D8">
            <w:pPr>
              <w:pStyle w:val="rvps14"/>
              <w:spacing w:before="0" w:beforeAutospacing="0" w:after="0" w:afterAutospacing="0"/>
              <w:ind w:firstLine="131"/>
              <w:jc w:val="center"/>
              <w:rPr>
                <w:rStyle w:val="rvts0"/>
                <w:sz w:val="28"/>
                <w:szCs w:val="28"/>
              </w:rPr>
            </w:pPr>
            <w:r w:rsidRPr="00BD7379">
              <w:rPr>
                <w:rStyle w:val="rvts0"/>
                <w:sz w:val="28"/>
                <w:szCs w:val="28"/>
              </w:rPr>
              <w:lastRenderedPageBreak/>
              <w:t>Професійні знання</w:t>
            </w:r>
          </w:p>
        </w:tc>
      </w:tr>
      <w:tr w:rsidR="00E90F70" w:rsidRPr="00650F16" w:rsidTr="005672FC">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0621E6">
        <w:trPr>
          <w:trHeight w:val="1095"/>
        </w:trPr>
        <w:tc>
          <w:tcPr>
            <w:tcW w:w="913" w:type="dxa"/>
          </w:tcPr>
          <w:p w:rsidR="00E90F70" w:rsidRDefault="00E90F70" w:rsidP="000621E6">
            <w:pPr>
              <w:pStyle w:val="rvps12"/>
              <w:spacing w:before="0" w:beforeAutospacing="0" w:after="0" w:afterAutospacing="0"/>
              <w:jc w:val="center"/>
              <w:rPr>
                <w:sz w:val="28"/>
                <w:szCs w:val="28"/>
              </w:rPr>
            </w:pPr>
            <w:r w:rsidRPr="00F65916">
              <w:rPr>
                <w:sz w:val="28"/>
                <w:szCs w:val="28"/>
              </w:rPr>
              <w:t>1</w:t>
            </w:r>
            <w:r>
              <w:rPr>
                <w:sz w:val="28"/>
                <w:szCs w:val="28"/>
              </w:rPr>
              <w:t>.</w:t>
            </w:r>
          </w:p>
          <w:p w:rsidR="00E90F70" w:rsidRDefault="00E90F70" w:rsidP="000621E6">
            <w:pPr>
              <w:pStyle w:val="rvps12"/>
              <w:spacing w:before="0" w:beforeAutospacing="0" w:after="0" w:afterAutospacing="0"/>
              <w:jc w:val="center"/>
              <w:rPr>
                <w:sz w:val="28"/>
                <w:szCs w:val="28"/>
              </w:rPr>
            </w:pPr>
          </w:p>
          <w:p w:rsidR="00E90F70" w:rsidRPr="00F65916" w:rsidRDefault="00E90F70" w:rsidP="000621E6">
            <w:pPr>
              <w:pStyle w:val="rvps12"/>
              <w:spacing w:before="0" w:beforeAutospacing="0" w:after="0" w:afterAutospacing="0"/>
              <w:jc w:val="center"/>
              <w:rPr>
                <w:sz w:val="28"/>
                <w:szCs w:val="28"/>
              </w:rPr>
            </w:pPr>
          </w:p>
        </w:tc>
        <w:tc>
          <w:tcPr>
            <w:tcW w:w="2901" w:type="dxa"/>
          </w:tcPr>
          <w:p w:rsidR="00E90F70" w:rsidRDefault="00E90F70" w:rsidP="002F059F">
            <w:pPr>
              <w:pStyle w:val="rvps14"/>
              <w:spacing w:before="0" w:beforeAutospacing="0" w:after="0" w:afterAutospacing="0"/>
              <w:rPr>
                <w:sz w:val="28"/>
                <w:szCs w:val="28"/>
              </w:rPr>
            </w:pPr>
            <w:r w:rsidRPr="00F65916">
              <w:rPr>
                <w:sz w:val="28"/>
                <w:szCs w:val="28"/>
              </w:rPr>
              <w:t>Знання законодавства</w:t>
            </w:r>
          </w:p>
          <w:p w:rsidR="00E90F70" w:rsidRDefault="00E90F70" w:rsidP="002F059F">
            <w:pPr>
              <w:pStyle w:val="rvps14"/>
              <w:spacing w:before="0" w:beforeAutospacing="0" w:after="0" w:afterAutospacing="0"/>
              <w:rPr>
                <w:sz w:val="28"/>
                <w:szCs w:val="28"/>
              </w:rPr>
            </w:pPr>
          </w:p>
          <w:p w:rsidR="00E90F70" w:rsidRPr="00F65916" w:rsidRDefault="00E90F70" w:rsidP="002F059F">
            <w:pPr>
              <w:pStyle w:val="rvps14"/>
              <w:spacing w:before="0" w:beforeAutospacing="0" w:after="0" w:afterAutospacing="0"/>
              <w:rPr>
                <w:sz w:val="28"/>
                <w:szCs w:val="28"/>
              </w:rPr>
            </w:pPr>
          </w:p>
        </w:tc>
        <w:tc>
          <w:tcPr>
            <w:tcW w:w="6482" w:type="dxa"/>
            <w:vAlign w:val="center"/>
          </w:tcPr>
          <w:p w:rsidR="00E52900" w:rsidRPr="00E52900" w:rsidRDefault="00E52900" w:rsidP="002F059F">
            <w:pPr>
              <w:ind w:left="260" w:hanging="142"/>
              <w:rPr>
                <w:rStyle w:val="rvts0"/>
                <w:color w:val="000000"/>
                <w:szCs w:val="28"/>
              </w:rPr>
            </w:pPr>
            <w:r w:rsidRPr="00E52900">
              <w:rPr>
                <w:rStyle w:val="rvts0"/>
                <w:color w:val="000000"/>
                <w:szCs w:val="28"/>
              </w:rPr>
              <w:t>Знання:</w:t>
            </w:r>
          </w:p>
          <w:p w:rsidR="00E52900" w:rsidRPr="00E52900" w:rsidRDefault="00E52900" w:rsidP="002F059F">
            <w:pPr>
              <w:ind w:left="260" w:hanging="142"/>
              <w:rPr>
                <w:rStyle w:val="rvts0"/>
                <w:color w:val="000000"/>
                <w:szCs w:val="28"/>
              </w:rPr>
            </w:pPr>
            <w:r w:rsidRPr="00E52900">
              <w:rPr>
                <w:rStyle w:val="rvts0"/>
                <w:color w:val="000000"/>
                <w:szCs w:val="28"/>
              </w:rPr>
              <w:t>-Конституції України;</w:t>
            </w:r>
          </w:p>
          <w:p w:rsidR="00E52900" w:rsidRPr="00E52900" w:rsidRDefault="00E52900" w:rsidP="002F059F">
            <w:pPr>
              <w:ind w:left="260" w:hanging="142"/>
              <w:rPr>
                <w:rStyle w:val="rvts0"/>
                <w:color w:val="000000"/>
                <w:szCs w:val="28"/>
              </w:rPr>
            </w:pPr>
            <w:r w:rsidRPr="00E52900">
              <w:rPr>
                <w:rStyle w:val="rvts0"/>
                <w:color w:val="000000"/>
                <w:szCs w:val="28"/>
              </w:rPr>
              <w:t>-Закону України «Про державну службу»;</w:t>
            </w:r>
          </w:p>
          <w:p w:rsidR="00E52900" w:rsidRPr="00E52900" w:rsidRDefault="00E52900" w:rsidP="002F059F">
            <w:pPr>
              <w:ind w:left="260" w:hanging="142"/>
              <w:rPr>
                <w:rStyle w:val="rvts0"/>
                <w:color w:val="000000"/>
                <w:szCs w:val="28"/>
              </w:rPr>
            </w:pPr>
            <w:r w:rsidRPr="00E52900">
              <w:rPr>
                <w:rStyle w:val="rvts0"/>
                <w:color w:val="000000"/>
                <w:szCs w:val="28"/>
              </w:rPr>
              <w:t>-Закону Укр</w:t>
            </w:r>
            <w:r w:rsidR="0026638B">
              <w:rPr>
                <w:rStyle w:val="rvts0"/>
                <w:color w:val="000000"/>
                <w:szCs w:val="28"/>
              </w:rPr>
              <w:t>аїни «Про запобігання корупції»</w:t>
            </w:r>
          </w:p>
          <w:p w:rsidR="00803577" w:rsidRPr="00606561" w:rsidRDefault="00E52900" w:rsidP="002F059F">
            <w:pPr>
              <w:ind w:left="260" w:hanging="142"/>
              <w:rPr>
                <w:rStyle w:val="rvts0"/>
                <w:color w:val="000000"/>
                <w:szCs w:val="28"/>
              </w:rPr>
            </w:pPr>
            <w:r w:rsidRPr="00E52900">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16" w:rsidRDefault="006D2716" w:rsidP="00F057AA">
      <w:r>
        <w:separator/>
      </w:r>
    </w:p>
  </w:endnote>
  <w:endnote w:type="continuationSeparator" w:id="0">
    <w:p w:rsidR="006D2716" w:rsidRDefault="006D2716"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4A" w:rsidRDefault="00986D4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4A" w:rsidRDefault="00986D4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4A" w:rsidRDefault="00986D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16" w:rsidRDefault="006D2716" w:rsidP="00F057AA">
      <w:r>
        <w:separator/>
      </w:r>
    </w:p>
  </w:footnote>
  <w:footnote w:type="continuationSeparator" w:id="0">
    <w:p w:rsidR="006D2716" w:rsidRDefault="006D2716"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6D27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67334"/>
      <w:docPartObj>
        <w:docPartGallery w:val="Page Numbers (Top of Page)"/>
        <w:docPartUnique/>
      </w:docPartObj>
    </w:sdtPr>
    <w:sdtEndPr/>
    <w:sdtContent>
      <w:p w:rsidR="00986D4A" w:rsidRDefault="00986D4A">
        <w:pPr>
          <w:pStyle w:val="a6"/>
          <w:jc w:val="center"/>
        </w:pPr>
        <w:r>
          <w:fldChar w:fldCharType="begin"/>
        </w:r>
        <w:r>
          <w:instrText>PAGE   \* MERGEFORMAT</w:instrText>
        </w:r>
        <w:r>
          <w:fldChar w:fldCharType="separate"/>
        </w:r>
        <w:r w:rsidR="00604299">
          <w:rPr>
            <w:noProof/>
          </w:rPr>
          <w:t>5</w:t>
        </w:r>
        <w:r>
          <w:fldChar w:fldCharType="end"/>
        </w:r>
      </w:p>
    </w:sdtContent>
  </w:sdt>
  <w:p w:rsidR="00D60F1A" w:rsidRDefault="006D27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4A" w:rsidRDefault="00986D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0772F"/>
    <w:rsid w:val="00061686"/>
    <w:rsid w:val="000621E6"/>
    <w:rsid w:val="0006299C"/>
    <w:rsid w:val="00082938"/>
    <w:rsid w:val="000854E4"/>
    <w:rsid w:val="000B7806"/>
    <w:rsid w:val="000D4939"/>
    <w:rsid w:val="000F09D9"/>
    <w:rsid w:val="000F2998"/>
    <w:rsid w:val="00120DA9"/>
    <w:rsid w:val="00123473"/>
    <w:rsid w:val="0012687F"/>
    <w:rsid w:val="00147A13"/>
    <w:rsid w:val="0016140C"/>
    <w:rsid w:val="00176FB1"/>
    <w:rsid w:val="0018430C"/>
    <w:rsid w:val="001955D5"/>
    <w:rsid w:val="001C4DCE"/>
    <w:rsid w:val="001D79FE"/>
    <w:rsid w:val="001E02C9"/>
    <w:rsid w:val="002226D5"/>
    <w:rsid w:val="00223B99"/>
    <w:rsid w:val="002305A6"/>
    <w:rsid w:val="00243B0A"/>
    <w:rsid w:val="0026638B"/>
    <w:rsid w:val="00267FB8"/>
    <w:rsid w:val="00295C9C"/>
    <w:rsid w:val="00297AE8"/>
    <w:rsid w:val="002B6A84"/>
    <w:rsid w:val="002C0204"/>
    <w:rsid w:val="002D1ECF"/>
    <w:rsid w:val="002D5F7A"/>
    <w:rsid w:val="002D7C19"/>
    <w:rsid w:val="002F059F"/>
    <w:rsid w:val="00301390"/>
    <w:rsid w:val="00304F28"/>
    <w:rsid w:val="00311E15"/>
    <w:rsid w:val="00312E7E"/>
    <w:rsid w:val="003147A6"/>
    <w:rsid w:val="00327861"/>
    <w:rsid w:val="003345FD"/>
    <w:rsid w:val="00337611"/>
    <w:rsid w:val="00362696"/>
    <w:rsid w:val="003674F9"/>
    <w:rsid w:val="0037185A"/>
    <w:rsid w:val="00372E95"/>
    <w:rsid w:val="003850F4"/>
    <w:rsid w:val="003979E2"/>
    <w:rsid w:val="003A7E10"/>
    <w:rsid w:val="003B1C04"/>
    <w:rsid w:val="003B39A9"/>
    <w:rsid w:val="003C218F"/>
    <w:rsid w:val="003D7C7F"/>
    <w:rsid w:val="003E0868"/>
    <w:rsid w:val="003E61D5"/>
    <w:rsid w:val="003F6BFC"/>
    <w:rsid w:val="0040784C"/>
    <w:rsid w:val="0043170C"/>
    <w:rsid w:val="004462EC"/>
    <w:rsid w:val="00456489"/>
    <w:rsid w:val="004953AF"/>
    <w:rsid w:val="004A0957"/>
    <w:rsid w:val="004A09DF"/>
    <w:rsid w:val="004C5DE8"/>
    <w:rsid w:val="004D6DAE"/>
    <w:rsid w:val="004E13E0"/>
    <w:rsid w:val="004F0C36"/>
    <w:rsid w:val="004F29F3"/>
    <w:rsid w:val="004F3882"/>
    <w:rsid w:val="00527F7E"/>
    <w:rsid w:val="00530ECD"/>
    <w:rsid w:val="005672FC"/>
    <w:rsid w:val="005971CB"/>
    <w:rsid w:val="005A4691"/>
    <w:rsid w:val="005E4A30"/>
    <w:rsid w:val="005F755A"/>
    <w:rsid w:val="00604299"/>
    <w:rsid w:val="00606561"/>
    <w:rsid w:val="0061124E"/>
    <w:rsid w:val="00620818"/>
    <w:rsid w:val="00620A2D"/>
    <w:rsid w:val="00650F16"/>
    <w:rsid w:val="006D2716"/>
    <w:rsid w:val="006F6622"/>
    <w:rsid w:val="00700AF2"/>
    <w:rsid w:val="007235AA"/>
    <w:rsid w:val="007335C1"/>
    <w:rsid w:val="00753E2A"/>
    <w:rsid w:val="0079022B"/>
    <w:rsid w:val="0079142D"/>
    <w:rsid w:val="007A3928"/>
    <w:rsid w:val="007B2952"/>
    <w:rsid w:val="007C790B"/>
    <w:rsid w:val="007E619C"/>
    <w:rsid w:val="007F308F"/>
    <w:rsid w:val="00803577"/>
    <w:rsid w:val="0080480C"/>
    <w:rsid w:val="00806D46"/>
    <w:rsid w:val="00832DCE"/>
    <w:rsid w:val="008340CB"/>
    <w:rsid w:val="00843CFC"/>
    <w:rsid w:val="00864AFB"/>
    <w:rsid w:val="00870353"/>
    <w:rsid w:val="00875B18"/>
    <w:rsid w:val="00882085"/>
    <w:rsid w:val="00882CA2"/>
    <w:rsid w:val="00897ACB"/>
    <w:rsid w:val="008B6CC9"/>
    <w:rsid w:val="008C657D"/>
    <w:rsid w:val="008D7649"/>
    <w:rsid w:val="008F1BD5"/>
    <w:rsid w:val="008F395D"/>
    <w:rsid w:val="00900091"/>
    <w:rsid w:val="009041AC"/>
    <w:rsid w:val="00905F69"/>
    <w:rsid w:val="00907B31"/>
    <w:rsid w:val="00921EF0"/>
    <w:rsid w:val="00933C55"/>
    <w:rsid w:val="00944710"/>
    <w:rsid w:val="009452D6"/>
    <w:rsid w:val="00974C27"/>
    <w:rsid w:val="009808B8"/>
    <w:rsid w:val="00986D4A"/>
    <w:rsid w:val="009C43D6"/>
    <w:rsid w:val="009E0CEC"/>
    <w:rsid w:val="009E7F39"/>
    <w:rsid w:val="009F2D14"/>
    <w:rsid w:val="009F494B"/>
    <w:rsid w:val="00A54298"/>
    <w:rsid w:val="00A75ED0"/>
    <w:rsid w:val="00AA04FB"/>
    <w:rsid w:val="00AA6643"/>
    <w:rsid w:val="00AD3929"/>
    <w:rsid w:val="00AF47E7"/>
    <w:rsid w:val="00B303A1"/>
    <w:rsid w:val="00B319F3"/>
    <w:rsid w:val="00B51059"/>
    <w:rsid w:val="00B53DCF"/>
    <w:rsid w:val="00B83F99"/>
    <w:rsid w:val="00B90762"/>
    <w:rsid w:val="00BB65DB"/>
    <w:rsid w:val="00BD7379"/>
    <w:rsid w:val="00BD751F"/>
    <w:rsid w:val="00BF1A12"/>
    <w:rsid w:val="00C27BD5"/>
    <w:rsid w:val="00C37BE0"/>
    <w:rsid w:val="00C47612"/>
    <w:rsid w:val="00C52B8C"/>
    <w:rsid w:val="00C63D9B"/>
    <w:rsid w:val="00C65796"/>
    <w:rsid w:val="00C727A6"/>
    <w:rsid w:val="00C753CB"/>
    <w:rsid w:val="00CB5EAD"/>
    <w:rsid w:val="00CC0388"/>
    <w:rsid w:val="00CC17D1"/>
    <w:rsid w:val="00CC3DB0"/>
    <w:rsid w:val="00CC4A71"/>
    <w:rsid w:val="00CC4C8E"/>
    <w:rsid w:val="00D3773A"/>
    <w:rsid w:val="00D62AAF"/>
    <w:rsid w:val="00D7294D"/>
    <w:rsid w:val="00D8554B"/>
    <w:rsid w:val="00DA5055"/>
    <w:rsid w:val="00DB2D3D"/>
    <w:rsid w:val="00DB4D0D"/>
    <w:rsid w:val="00DC1995"/>
    <w:rsid w:val="00DE2A61"/>
    <w:rsid w:val="00DE2D9A"/>
    <w:rsid w:val="00E05A07"/>
    <w:rsid w:val="00E1779C"/>
    <w:rsid w:val="00E52226"/>
    <w:rsid w:val="00E52900"/>
    <w:rsid w:val="00E619B6"/>
    <w:rsid w:val="00E90F70"/>
    <w:rsid w:val="00E91706"/>
    <w:rsid w:val="00E9230C"/>
    <w:rsid w:val="00EB5D44"/>
    <w:rsid w:val="00EC65E1"/>
    <w:rsid w:val="00EF115F"/>
    <w:rsid w:val="00F057AA"/>
    <w:rsid w:val="00F2071D"/>
    <w:rsid w:val="00F230F1"/>
    <w:rsid w:val="00F42FEF"/>
    <w:rsid w:val="00F456FC"/>
    <w:rsid w:val="00F47018"/>
    <w:rsid w:val="00F80F16"/>
    <w:rsid w:val="00F94E6A"/>
    <w:rsid w:val="00F95192"/>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986D4A"/>
    <w:pPr>
      <w:tabs>
        <w:tab w:val="center" w:pos="4819"/>
        <w:tab w:val="right" w:pos="9639"/>
      </w:tabs>
    </w:pPr>
  </w:style>
  <w:style w:type="character" w:customStyle="1" w:styleId="af">
    <w:name w:val="Нижній колонтитул Знак"/>
    <w:basedOn w:val="a0"/>
    <w:link w:val="ae"/>
    <w:uiPriority w:val="99"/>
    <w:rsid w:val="00986D4A"/>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316832996">
      <w:bodyDiv w:val="1"/>
      <w:marLeft w:val="0"/>
      <w:marRight w:val="0"/>
      <w:marTop w:val="0"/>
      <w:marBottom w:val="0"/>
      <w:divBdr>
        <w:top w:val="none" w:sz="0" w:space="0" w:color="auto"/>
        <w:left w:val="none" w:sz="0" w:space="0" w:color="auto"/>
        <w:bottom w:val="none" w:sz="0" w:space="0" w:color="auto"/>
        <w:right w:val="none" w:sz="0" w:space="0" w:color="auto"/>
      </w:divBdr>
    </w:div>
    <w:div w:id="1399859663">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4701</Words>
  <Characters>2680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59</cp:revision>
  <cp:lastPrinted>2020-02-26T08:18:00Z</cp:lastPrinted>
  <dcterms:created xsi:type="dcterms:W3CDTF">2020-02-19T15:01:00Z</dcterms:created>
  <dcterms:modified xsi:type="dcterms:W3CDTF">2020-02-26T13:08:00Z</dcterms:modified>
</cp:coreProperties>
</file>