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DD209B" w:rsidRPr="00361521" w:rsidRDefault="00DD209B" w:rsidP="00DD209B">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9220F0">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C16027">
      <w:pPr>
        <w:shd w:val="clear" w:color="auto" w:fill="FFFFFF"/>
        <w:spacing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694B83">
        <w:rPr>
          <w:rFonts w:ascii="Times New Roman" w:eastAsia="Times New Roman" w:hAnsi="Times New Roman" w:cs="Times New Roman"/>
          <w:b/>
          <w:bCs/>
          <w:color w:val="333333"/>
          <w:sz w:val="24"/>
          <w:szCs w:val="24"/>
          <w:lang w:val="uk-UA" w:eastAsia="ru-RU"/>
        </w:rPr>
        <w:t xml:space="preserve">державної служби категорії «В» </w:t>
      </w:r>
      <w:r w:rsidR="00694B83" w:rsidRPr="00E13F5A">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A5157A" w:rsidRPr="00D35AFE">
        <w:rPr>
          <w:rFonts w:ascii="Times New Roman" w:hAnsi="Times New Roman" w:cs="Times New Roman"/>
          <w:b/>
          <w:sz w:val="24"/>
          <w:szCs w:val="24"/>
          <w:lang w:val="uk-UA"/>
        </w:rPr>
        <w:t>головного спеціаліста Відділу з питань запобігання та виявлення корупції</w:t>
      </w:r>
    </w:p>
    <w:tbl>
      <w:tblPr>
        <w:tblW w:w="5000" w:type="pct"/>
        <w:tblCellMar>
          <w:left w:w="0" w:type="dxa"/>
          <w:right w:w="0" w:type="dxa"/>
        </w:tblCellMar>
        <w:tblLook w:val="04A0" w:firstRow="1" w:lastRow="0" w:firstColumn="1" w:lastColumn="0" w:noHBand="0" w:noVBand="1"/>
      </w:tblPr>
      <w:tblGrid>
        <w:gridCol w:w="554"/>
        <w:gridCol w:w="2916"/>
        <w:gridCol w:w="5879"/>
      </w:tblGrid>
      <w:tr w:rsidR="00B15D37" w:rsidRPr="00DD0C47" w:rsidTr="0069241E">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7DBC" w:rsidTr="0069241E">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A5157A" w:rsidRPr="00A5157A"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 </w:t>
            </w:r>
            <w:r w:rsidR="00A5157A" w:rsidRPr="00A5157A">
              <w:rPr>
                <w:rFonts w:ascii="Times New Roman" w:eastAsia="Times New Roman" w:hAnsi="Times New Roman" w:cs="Times New Roman"/>
                <w:sz w:val="24"/>
                <w:szCs w:val="24"/>
                <w:lang w:val="uk-UA" w:eastAsia="ru-RU"/>
              </w:rPr>
              <w:t>Вживає заходи щодо:</w:t>
            </w:r>
          </w:p>
          <w:p w:rsidR="00A5157A" w:rsidRPr="00A5157A"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A5157A">
              <w:rPr>
                <w:rFonts w:ascii="Times New Roman" w:eastAsia="Times New Roman" w:hAnsi="Times New Roman" w:cs="Times New Roman"/>
                <w:sz w:val="24"/>
                <w:szCs w:val="24"/>
                <w:lang w:val="uk-UA" w:eastAsia="ru-RU"/>
              </w:rPr>
              <w:t>- запобігання корупційним правопорушенням та правопорушенням, пов’язаним з корупцією;</w:t>
            </w:r>
          </w:p>
          <w:p w:rsidR="00A5157A" w:rsidRPr="00A5157A"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A5157A">
              <w:rPr>
                <w:rFonts w:ascii="Times New Roman" w:eastAsia="Times New Roman" w:hAnsi="Times New Roman" w:cs="Times New Roman"/>
                <w:sz w:val="24"/>
                <w:szCs w:val="24"/>
                <w:lang w:val="uk-UA" w:eastAsia="ru-RU"/>
              </w:rPr>
              <w:t>- виявлення конфлікту інтересів та сприяє його врегулюванню;</w:t>
            </w:r>
          </w:p>
          <w:p w:rsidR="00A5157A" w:rsidRPr="00A5157A"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A5157A">
              <w:rPr>
                <w:rFonts w:ascii="Times New Roman" w:eastAsia="Times New Roman" w:hAnsi="Times New Roman" w:cs="Times New Roman"/>
                <w:sz w:val="24"/>
                <w:szCs w:val="24"/>
                <w:lang w:val="uk-UA" w:eastAsia="ru-RU"/>
              </w:rPr>
              <w:t>- своєчасного подання державними службовцями відомостей про майно, доходи, витрати і зобов’язання фінансового характеру (за дорученням начальника Відділу).</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2. </w:t>
            </w:r>
            <w:r w:rsidR="00A5157A" w:rsidRPr="00F146C2">
              <w:rPr>
                <w:rFonts w:ascii="Times New Roman" w:eastAsia="Times New Roman" w:hAnsi="Times New Roman" w:cs="Times New Roman"/>
                <w:sz w:val="24"/>
                <w:szCs w:val="24"/>
                <w:lang w:val="uk-UA" w:eastAsia="ru-RU"/>
              </w:rPr>
              <w:t>Забезпечує:</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консультування осіб, які припиняють (припинили) діяльність, пов’язану з виконанням функцій держави або місцевого самоврядування, з питань подання в установленому порядку декларацій особи, уповноваженої на виконання функцій держави або місцевого самоврядування відповідних типів;</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співпрацю з викривачами, дотримання їхніх прав та гарантій захисту, передбачених Законом України «Про запобігання корупції», у разі відсутності особи, відповідальної за реалізацію повноважень із захисту викривачів;</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xml:space="preserve">- моніторинг офіційного </w:t>
            </w:r>
            <w:proofErr w:type="spellStart"/>
            <w:r w:rsidR="00A5157A" w:rsidRPr="00F146C2">
              <w:rPr>
                <w:rFonts w:ascii="Times New Roman" w:eastAsia="Times New Roman" w:hAnsi="Times New Roman" w:cs="Times New Roman"/>
                <w:sz w:val="24"/>
                <w:szCs w:val="24"/>
                <w:lang w:val="uk-UA" w:eastAsia="ru-RU"/>
              </w:rPr>
              <w:t>вебпорталу</w:t>
            </w:r>
            <w:proofErr w:type="spellEnd"/>
            <w:r w:rsidR="00A5157A" w:rsidRPr="00F146C2">
              <w:rPr>
                <w:rFonts w:ascii="Times New Roman" w:eastAsia="Times New Roman" w:hAnsi="Times New Roman" w:cs="Times New Roman"/>
                <w:sz w:val="24"/>
                <w:szCs w:val="24"/>
                <w:lang w:val="uk-UA" w:eastAsia="ru-RU"/>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 у разі отримання офіційної інформації стосовно вчинення посадовими чи службовими особами </w:t>
            </w:r>
            <w:proofErr w:type="spellStart"/>
            <w:r w:rsidR="00A5157A" w:rsidRPr="00F146C2">
              <w:rPr>
                <w:rFonts w:ascii="Times New Roman" w:eastAsia="Times New Roman" w:hAnsi="Times New Roman" w:cs="Times New Roman"/>
                <w:sz w:val="24"/>
                <w:szCs w:val="24"/>
                <w:lang w:val="uk-UA" w:eastAsia="ru-RU"/>
              </w:rPr>
              <w:t>Держенергонагляду</w:t>
            </w:r>
            <w:proofErr w:type="spellEnd"/>
            <w:r w:rsidR="00A5157A" w:rsidRPr="00F146C2">
              <w:rPr>
                <w:rFonts w:ascii="Times New Roman" w:eastAsia="Times New Roman" w:hAnsi="Times New Roman" w:cs="Times New Roman"/>
                <w:sz w:val="24"/>
                <w:szCs w:val="24"/>
                <w:lang w:val="uk-UA" w:eastAsia="ru-RU"/>
              </w:rPr>
              <w:t xml:space="preserve"> корупційного правопорушення або правопорушення пов’язаного з корупцією (за дорученням начальника Відділу);</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xml:space="preserve">- моніторинг Єдиного державного реєстру осіб, які вчинили корупційні або пов’язані з корупцією правопорушення, з метою забезпечення дотримання </w:t>
            </w:r>
            <w:proofErr w:type="spellStart"/>
            <w:r w:rsidR="00A5157A" w:rsidRPr="00F146C2">
              <w:rPr>
                <w:rFonts w:ascii="Times New Roman" w:eastAsia="Times New Roman" w:hAnsi="Times New Roman" w:cs="Times New Roman"/>
                <w:sz w:val="24"/>
                <w:szCs w:val="24"/>
                <w:lang w:val="uk-UA" w:eastAsia="ru-RU"/>
              </w:rPr>
              <w:t>Держенергонаглядом</w:t>
            </w:r>
            <w:proofErr w:type="spellEnd"/>
            <w:r w:rsidR="00A5157A" w:rsidRPr="00F146C2">
              <w:rPr>
                <w:rFonts w:ascii="Times New Roman" w:eastAsia="Times New Roman" w:hAnsi="Times New Roman" w:cs="Times New Roman"/>
                <w:sz w:val="24"/>
                <w:szCs w:val="24"/>
                <w:lang w:val="uk-UA" w:eastAsia="ru-RU"/>
              </w:rPr>
              <w:t xml:space="preserve"> вимог частини першої статті 59 та частини другої статті 651 Закону України «Про запобігання корупції» (за дорученням начальника Відділу).</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3. </w:t>
            </w:r>
            <w:r w:rsidR="00A5157A" w:rsidRPr="00F146C2">
              <w:rPr>
                <w:rFonts w:ascii="Times New Roman" w:eastAsia="Times New Roman" w:hAnsi="Times New Roman" w:cs="Times New Roman"/>
                <w:sz w:val="24"/>
                <w:szCs w:val="24"/>
                <w:lang w:val="uk-UA" w:eastAsia="ru-RU"/>
              </w:rPr>
              <w:t xml:space="preserve">Бере участь: </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у розробленні заходів щодо запобігання корупційним правопорушенням та правопорушенням, пов’язаним з корупцією;</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xml:space="preserve">- в організації роботи внутрішніх каналів повідомлення про можливі факти корупційних або </w:t>
            </w:r>
            <w:r w:rsidR="00A5157A" w:rsidRPr="00F146C2">
              <w:rPr>
                <w:rFonts w:ascii="Times New Roman" w:eastAsia="Times New Roman" w:hAnsi="Times New Roman" w:cs="Times New Roman"/>
                <w:sz w:val="24"/>
                <w:szCs w:val="24"/>
                <w:lang w:val="uk-UA" w:eastAsia="ru-RU"/>
              </w:rPr>
              <w:lastRenderedPageBreak/>
              <w:t xml:space="preserve">пов’язаних з корупцією правопорушень, інших порушень вимог Закону України «Про запобігання корупції»; </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у перевірці отриманих повідомлень про можливі факти корупційних або пов’язаних з корупцією правопорушень, інших порушень Закону України «Про запобігання корупції»;</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у проведенні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xml:space="preserve">- у проведенні спеціальної перевірки стосовно осіб, які претендують на зайняття посад в структурних підрозділах апарату </w:t>
            </w:r>
            <w:proofErr w:type="spellStart"/>
            <w:r w:rsidR="00A5157A" w:rsidRPr="00F146C2">
              <w:rPr>
                <w:rFonts w:ascii="Times New Roman" w:eastAsia="Times New Roman" w:hAnsi="Times New Roman" w:cs="Times New Roman"/>
                <w:sz w:val="24"/>
                <w:szCs w:val="24"/>
                <w:lang w:val="uk-UA" w:eastAsia="ru-RU"/>
              </w:rPr>
              <w:t>Держенергонагляду</w:t>
            </w:r>
            <w:proofErr w:type="spellEnd"/>
            <w:r w:rsidR="00A5157A" w:rsidRPr="00F146C2">
              <w:rPr>
                <w:rFonts w:ascii="Times New Roman" w:eastAsia="Times New Roman" w:hAnsi="Times New Roman" w:cs="Times New Roman"/>
                <w:sz w:val="24"/>
                <w:szCs w:val="24"/>
                <w:lang w:val="uk-UA" w:eastAsia="ru-RU"/>
              </w:rPr>
              <w:t xml:space="preserve"> та його територіальних органах, які передбачають зайняття відповідального або особливо відповідального становища, та посад з підвищеним корупційним ризиком, перелік яких затверджується Національним агентством з питань запобігання корупції, відповідно до вимог Закону України «Про запобігання корупції»;</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України «Про запобігання корупції» в інший спосіб, за поданням спеціально уповноваженого суб’єкта у сфері протидії корупції або приписом Національного агентства з питань запобігання корупції (за дорученням начальника Відділу);</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xml:space="preserve">- у розробленні </w:t>
            </w:r>
            <w:proofErr w:type="spellStart"/>
            <w:r w:rsidR="00A5157A" w:rsidRPr="00F146C2">
              <w:rPr>
                <w:rFonts w:ascii="Times New Roman" w:eastAsia="Times New Roman" w:hAnsi="Times New Roman" w:cs="Times New Roman"/>
                <w:sz w:val="24"/>
                <w:szCs w:val="24"/>
                <w:lang w:val="uk-UA" w:eastAsia="ru-RU"/>
              </w:rPr>
              <w:t>проєктів</w:t>
            </w:r>
            <w:proofErr w:type="spellEnd"/>
            <w:r w:rsidR="00A5157A" w:rsidRPr="00F146C2">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за дорученням начальника Відділу; </w:t>
            </w:r>
          </w:p>
          <w:p w:rsidR="00A5157A"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у заходах з організації подання до Національного агентства з питань запобігання корупції інформації, необхідної для підготовки національної доповіді щодо реалізації засад антикорупційної політики відповідно до статті 20 Закону України «Про запобігання корупції»;</w:t>
            </w:r>
          </w:p>
          <w:p w:rsidR="00B15D37" w:rsidRPr="00F146C2" w:rsidRDefault="00F146C2" w:rsidP="00F146C2">
            <w:pPr>
              <w:tabs>
                <w:tab w:val="left" w:pos="207"/>
              </w:tabs>
              <w:spacing w:after="0" w:line="240" w:lineRule="auto"/>
              <w:ind w:left="207" w:righ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5157A" w:rsidRPr="00F146C2">
              <w:rPr>
                <w:rFonts w:ascii="Times New Roman" w:eastAsia="Times New Roman" w:hAnsi="Times New Roman" w:cs="Times New Roman"/>
                <w:sz w:val="24"/>
                <w:szCs w:val="24"/>
                <w:lang w:val="uk-UA" w:eastAsia="ru-RU"/>
              </w:rPr>
              <w:t>- у наданні інформації до Національного агентства з питань запобігання корупції щодо діяльності Відділу за результатами роботи за звітний рік.</w:t>
            </w:r>
          </w:p>
        </w:tc>
      </w:tr>
      <w:tr w:rsidR="00B15D37" w:rsidRPr="00DD209B" w:rsidTr="0069241E">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vAlign w:val="center"/>
            <w:hideMark/>
          </w:tcPr>
          <w:p w:rsidR="004F45AD" w:rsidRPr="00DD0C47" w:rsidRDefault="009C48AC" w:rsidP="00F627F3">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 8 500 грн;</w:t>
            </w:r>
          </w:p>
          <w:p w:rsidR="00B15D37" w:rsidRPr="00DD0C47" w:rsidRDefault="004F45AD" w:rsidP="00F627F3">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w:t>
            </w:r>
            <w:r w:rsidR="00F627F3">
              <w:rPr>
                <w:rFonts w:ascii="Times New Roman" w:eastAsia="Times New Roman" w:hAnsi="Times New Roman" w:cs="Times New Roman"/>
                <w:sz w:val="24"/>
                <w:szCs w:val="24"/>
                <w:lang w:val="uk-UA" w:eastAsia="ru-RU"/>
              </w:rPr>
              <w:t xml:space="preserve">ти та премії (відповідно до </w:t>
            </w:r>
            <w:r w:rsidRPr="00DD0C47">
              <w:rPr>
                <w:rFonts w:ascii="Times New Roman" w:eastAsia="Times New Roman" w:hAnsi="Times New Roman" w:cs="Times New Roman"/>
                <w:sz w:val="24"/>
                <w:szCs w:val="24"/>
                <w:lang w:val="uk-UA" w:eastAsia="ru-RU"/>
              </w:rPr>
              <w:t xml:space="preserve">статті 52 Закону України «Про державну службу» та </w:t>
            </w:r>
            <w:r w:rsidR="00F627F3">
              <w:rPr>
                <w:rFonts w:ascii="Times New Roman" w:eastAsia="Times New Roman" w:hAnsi="Times New Roman" w:cs="Times New Roman"/>
                <w:sz w:val="24"/>
                <w:szCs w:val="24"/>
                <w:lang w:val="uk-UA" w:eastAsia="ru-RU"/>
              </w:rPr>
              <w:t>п</w:t>
            </w:r>
            <w:r w:rsidRPr="00DD0C47">
              <w:rPr>
                <w:rFonts w:ascii="Times New Roman" w:eastAsia="Times New Roman" w:hAnsi="Times New Roman" w:cs="Times New Roman"/>
                <w:sz w:val="24"/>
                <w:szCs w:val="24"/>
                <w:lang w:val="uk-UA" w:eastAsia="ru-RU"/>
              </w:rPr>
              <w:t xml:space="preserve">останови Кабінету Міністрів України від 18 січня 2017 року </w:t>
            </w:r>
            <w:r w:rsidR="00F627F3">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69241E">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8723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AE2FD1">
              <w:rPr>
                <w:rFonts w:ascii="Times New Roman" w:eastAsia="Times New Roman" w:hAnsi="Times New Roman" w:cs="Times New Roman"/>
                <w:sz w:val="24"/>
                <w:szCs w:val="24"/>
                <w:lang w:val="uk-UA" w:eastAsia="ru-RU"/>
              </w:rPr>
              <w:t>.</w:t>
            </w:r>
          </w:p>
          <w:p w:rsidR="00B15D37" w:rsidRPr="00DD0C47" w:rsidRDefault="00530734" w:rsidP="00694B83">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694B83" w:rsidRPr="00E13F5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87239">
              <w:rPr>
                <w:rFonts w:ascii="Times New Roman" w:eastAsia="Times New Roman" w:hAnsi="Times New Roman" w:cs="Times New Roman"/>
                <w:sz w:val="24"/>
                <w:szCs w:val="24"/>
                <w:lang w:val="uk-UA" w:eastAsia="ru-RU"/>
              </w:rPr>
              <w:t>вого</w:t>
            </w:r>
            <w:proofErr w:type="spellEnd"/>
            <w:r w:rsidR="00487239">
              <w:rPr>
                <w:rFonts w:ascii="Times New Roman" w:eastAsia="Times New Roman" w:hAnsi="Times New Roman" w:cs="Times New Roman"/>
                <w:sz w:val="24"/>
                <w:szCs w:val="24"/>
                <w:lang w:val="uk-UA" w:eastAsia="ru-RU"/>
              </w:rPr>
              <w:t xml:space="preserve"> проведення конкурсу щороку</w:t>
            </w:r>
          </w:p>
        </w:tc>
      </w:tr>
      <w:tr w:rsidR="0069241E" w:rsidRPr="00DD0C47" w:rsidTr="0069241E">
        <w:tc>
          <w:tcPr>
            <w:tcW w:w="3470" w:type="dxa"/>
            <w:gridSpan w:val="2"/>
            <w:tcBorders>
              <w:top w:val="single" w:sz="2" w:space="0" w:color="auto"/>
              <w:left w:val="single" w:sz="2" w:space="0" w:color="auto"/>
              <w:bottom w:val="single" w:sz="2" w:space="0" w:color="auto"/>
              <w:right w:val="single" w:sz="2" w:space="0" w:color="auto"/>
            </w:tcBorders>
            <w:hideMark/>
          </w:tcPr>
          <w:p w:rsidR="0069241E" w:rsidRPr="00DD0C47" w:rsidRDefault="0069241E" w:rsidP="0069241E">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25 березня 2016 року № 246 (зі змінами);</w:t>
            </w:r>
          </w:p>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69241E"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p>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69241E" w:rsidRPr="00197E43"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p>
          <w:p w:rsidR="0069241E" w:rsidRPr="00C05CB7"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17 год. 00 хв. </w:t>
            </w:r>
            <w:r w:rsidR="007D4278">
              <w:rPr>
                <w:rFonts w:ascii="Times New Roman" w:eastAsia="Times New Roman" w:hAnsi="Times New Roman" w:cs="Times New Roman"/>
                <w:sz w:val="24"/>
                <w:szCs w:val="24"/>
                <w:lang w:val="uk-UA" w:eastAsia="ru-RU"/>
              </w:rPr>
              <w:t>06</w:t>
            </w:r>
            <w:r w:rsidRPr="00C05CB7">
              <w:rPr>
                <w:rFonts w:ascii="Times New Roman" w:eastAsia="Times New Roman" w:hAnsi="Times New Roman" w:cs="Times New Roman"/>
                <w:sz w:val="24"/>
                <w:szCs w:val="24"/>
                <w:lang w:val="uk-UA" w:eastAsia="ru-RU"/>
              </w:rPr>
              <w:t xml:space="preserve"> </w:t>
            </w:r>
            <w:r w:rsidR="007D4278">
              <w:rPr>
                <w:rFonts w:ascii="Times New Roman" w:eastAsia="Times New Roman" w:hAnsi="Times New Roman" w:cs="Times New Roman"/>
                <w:sz w:val="24"/>
                <w:szCs w:val="24"/>
                <w:lang w:val="uk-UA" w:eastAsia="ru-RU"/>
              </w:rPr>
              <w:t>грудня</w:t>
            </w:r>
            <w:r w:rsidRPr="00C05CB7">
              <w:rPr>
                <w:rFonts w:ascii="Times New Roman" w:eastAsia="Times New Roman" w:hAnsi="Times New Roman" w:cs="Times New Roman"/>
                <w:sz w:val="24"/>
                <w:szCs w:val="24"/>
                <w:lang w:val="uk-UA" w:eastAsia="ru-RU"/>
              </w:rPr>
              <w:t xml:space="preserve"> </w:t>
            </w:r>
          </w:p>
          <w:p w:rsidR="0069241E" w:rsidRPr="00DD0C47"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69241E" w:rsidRPr="00DD0C47" w:rsidTr="0069241E">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69241E" w:rsidRPr="00DD0C47" w:rsidRDefault="0069241E" w:rsidP="0069241E">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69241E" w:rsidRPr="00DD0C47" w:rsidRDefault="0069241E" w:rsidP="00F31F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9241E" w:rsidRPr="00DD0C47" w:rsidTr="0069241E">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69241E" w:rsidRPr="00DD0C47" w:rsidRDefault="0069241E" w:rsidP="00AE2FD1">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69241E" w:rsidRPr="00DD0C47" w:rsidRDefault="0069241E" w:rsidP="00AE2FD1">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69241E" w:rsidRPr="00DD0C47" w:rsidRDefault="0069241E" w:rsidP="00AE2FD1">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69241E" w:rsidRPr="00DD0C47" w:rsidRDefault="0069241E" w:rsidP="00AE2FD1">
            <w:pPr>
              <w:spacing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9241E" w:rsidRPr="00F01A67" w:rsidRDefault="007D4278" w:rsidP="0069241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0069241E" w:rsidRPr="00C05C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69241E" w:rsidRPr="00C05CB7">
              <w:rPr>
                <w:rFonts w:ascii="Times New Roman" w:eastAsia="Times New Roman" w:hAnsi="Times New Roman" w:cs="Times New Roman"/>
                <w:sz w:val="24"/>
                <w:szCs w:val="24"/>
                <w:lang w:val="uk-UA" w:eastAsia="ru-RU"/>
              </w:rPr>
              <w:t xml:space="preserve"> 2021 року о 10 год. 00 хв. – тестування</w:t>
            </w:r>
            <w:r w:rsidR="0069241E"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9241E" w:rsidRPr="00F01A67"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p>
          <w:p w:rsidR="0069241E" w:rsidRPr="00DD0C47" w:rsidRDefault="0069241E" w:rsidP="0069241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69241E" w:rsidRPr="00DD209B" w:rsidTr="0069241E">
        <w:tc>
          <w:tcPr>
            <w:tcW w:w="3470" w:type="dxa"/>
            <w:gridSpan w:val="2"/>
            <w:tcBorders>
              <w:top w:val="single" w:sz="2" w:space="0" w:color="auto"/>
              <w:left w:val="single" w:sz="2" w:space="0" w:color="auto"/>
              <w:bottom w:val="single" w:sz="2" w:space="0" w:color="auto"/>
              <w:right w:val="single" w:sz="2" w:space="0" w:color="auto"/>
            </w:tcBorders>
            <w:hideMark/>
          </w:tcPr>
          <w:p w:rsidR="0069241E" w:rsidRPr="00DD0C47" w:rsidRDefault="0069241E" w:rsidP="0069241E">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69241E" w:rsidRPr="00DD0C47" w:rsidRDefault="0069241E" w:rsidP="0069241E">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69241E" w:rsidRPr="00DD0C47" w:rsidRDefault="0069241E" w:rsidP="0069241E">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69241E" w:rsidRPr="00DD0C47" w:rsidRDefault="0069241E" w:rsidP="0069241E">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69241E" w:rsidRPr="00DD0C47" w:rsidRDefault="0069241E" w:rsidP="0069241E">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69241E">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69241E">
        <w:tc>
          <w:tcPr>
            <w:tcW w:w="554"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6"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091428">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r w:rsidR="00D70118">
              <w:rPr>
                <w:rFonts w:ascii="Times New Roman" w:eastAsia="Times New Roman" w:hAnsi="Times New Roman" w:cs="Times New Roman"/>
                <w:sz w:val="24"/>
                <w:szCs w:val="24"/>
                <w:lang w:val="uk-UA" w:eastAsia="ru-RU"/>
              </w:rPr>
              <w:t xml:space="preserve"> </w:t>
            </w:r>
          </w:p>
        </w:tc>
      </w:tr>
      <w:tr w:rsidR="001C3886" w:rsidRPr="00DD0C47" w:rsidTr="0069241E">
        <w:tc>
          <w:tcPr>
            <w:tcW w:w="554"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6"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69241E">
        <w:trPr>
          <w:trHeight w:val="690"/>
        </w:trPr>
        <w:tc>
          <w:tcPr>
            <w:tcW w:w="554"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6"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69241E">
        <w:trPr>
          <w:trHeight w:val="690"/>
        </w:trPr>
        <w:tc>
          <w:tcPr>
            <w:tcW w:w="554"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6"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69241E">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69241E">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69241E">
        <w:trPr>
          <w:trHeight w:val="646"/>
        </w:trPr>
        <w:tc>
          <w:tcPr>
            <w:tcW w:w="554"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6"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694B83"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69241E">
        <w:tc>
          <w:tcPr>
            <w:tcW w:w="554"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6"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694B83"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69241E">
        <w:tc>
          <w:tcPr>
            <w:tcW w:w="554"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6"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642BC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69241E">
        <w:tc>
          <w:tcPr>
            <w:tcW w:w="554"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6"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642BC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69241E">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69241E">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69241E">
        <w:trPr>
          <w:trHeight w:val="1548"/>
        </w:trPr>
        <w:tc>
          <w:tcPr>
            <w:tcW w:w="554" w:type="dxa"/>
            <w:tcBorders>
              <w:top w:val="single" w:sz="2" w:space="0" w:color="auto"/>
              <w:left w:val="single" w:sz="2" w:space="0" w:color="auto"/>
              <w:bottom w:val="single" w:sz="2" w:space="0" w:color="auto"/>
              <w:right w:val="single" w:sz="4"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6" w:type="dxa"/>
            <w:tcBorders>
              <w:top w:val="single" w:sz="4" w:space="0" w:color="auto"/>
              <w:left w:val="single" w:sz="4"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4" w:space="0" w:color="auto"/>
              <w:left w:val="single" w:sz="2" w:space="0" w:color="auto"/>
              <w:bottom w:val="single" w:sz="2" w:space="0" w:color="auto"/>
              <w:right w:val="single" w:sz="4" w:space="0" w:color="auto"/>
            </w:tcBorders>
            <w:hideMark/>
          </w:tcPr>
          <w:p w:rsidR="001C3886" w:rsidRPr="00DD0C47" w:rsidRDefault="001C3886" w:rsidP="00DA5236">
            <w:pPr>
              <w:spacing w:before="150" w:after="0" w:line="240" w:lineRule="auto"/>
              <w:ind w:left="207" w:right="274" w:hanging="5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69241E">
        <w:tc>
          <w:tcPr>
            <w:tcW w:w="9349" w:type="dxa"/>
            <w:gridSpan w:val="3"/>
            <w:tcBorders>
              <w:top w:val="single" w:sz="2" w:space="0" w:color="auto"/>
              <w:left w:val="single" w:sz="4" w:space="0" w:color="auto"/>
              <w:bottom w:val="single" w:sz="2" w:space="0" w:color="auto"/>
              <w:right w:val="single" w:sz="4"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CF2A8D" w:rsidTr="0069241E">
        <w:tc>
          <w:tcPr>
            <w:tcW w:w="554" w:type="dxa"/>
            <w:tcBorders>
              <w:top w:val="single" w:sz="2" w:space="0" w:color="auto"/>
              <w:left w:val="single" w:sz="2" w:space="0" w:color="auto"/>
              <w:bottom w:val="single" w:sz="2" w:space="0" w:color="auto"/>
              <w:right w:val="single" w:sz="4" w:space="0" w:color="auto"/>
            </w:tcBorders>
            <w:hideMark/>
          </w:tcPr>
          <w:p w:rsidR="001C3886" w:rsidRPr="001D1D62" w:rsidRDefault="00F6300B" w:rsidP="00F6300B">
            <w:pPr>
              <w:spacing w:after="0" w:line="240" w:lineRule="auto"/>
              <w:jc w:val="center"/>
              <w:rPr>
                <w:rFonts w:ascii="Times New Roman" w:eastAsia="Times New Roman" w:hAnsi="Times New Roman" w:cs="Times New Roman"/>
                <w:sz w:val="24"/>
                <w:szCs w:val="24"/>
                <w:lang w:val="en-US" w:eastAsia="ru-RU"/>
              </w:rPr>
            </w:pPr>
            <w:r w:rsidRPr="001D1D62">
              <w:rPr>
                <w:rFonts w:ascii="Times New Roman" w:eastAsia="Times New Roman" w:hAnsi="Times New Roman" w:cs="Times New Roman"/>
                <w:sz w:val="24"/>
                <w:szCs w:val="24"/>
                <w:lang w:val="en-US" w:eastAsia="ru-RU"/>
              </w:rPr>
              <w:t>2.</w:t>
            </w:r>
          </w:p>
        </w:tc>
        <w:tc>
          <w:tcPr>
            <w:tcW w:w="2916" w:type="dxa"/>
            <w:tcBorders>
              <w:top w:val="single" w:sz="2" w:space="0" w:color="auto"/>
              <w:left w:val="single" w:sz="4" w:space="0" w:color="auto"/>
              <w:bottom w:val="single" w:sz="4" w:space="0" w:color="auto"/>
              <w:right w:val="single" w:sz="2" w:space="0" w:color="auto"/>
            </w:tcBorders>
            <w:hideMark/>
          </w:tcPr>
          <w:p w:rsidR="001C3886" w:rsidRPr="001D1D62" w:rsidRDefault="00F6300B" w:rsidP="00F6300B">
            <w:pPr>
              <w:spacing w:after="0" w:line="240" w:lineRule="auto"/>
              <w:ind w:left="154"/>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4" w:space="0" w:color="auto"/>
              <w:right w:val="single" w:sz="4" w:space="0" w:color="auto"/>
            </w:tcBorders>
            <w:hideMark/>
          </w:tcPr>
          <w:p w:rsidR="00F146C2" w:rsidRPr="00D35AFE" w:rsidRDefault="00F146C2" w:rsidP="00F146C2">
            <w:pPr>
              <w:spacing w:after="0" w:line="240" w:lineRule="auto"/>
              <w:ind w:left="221" w:right="132"/>
              <w:jc w:val="both"/>
              <w:rPr>
                <w:rFonts w:ascii="Times New Roman" w:eastAsia="Times New Roman" w:hAnsi="Times New Roman" w:cs="Times New Roman"/>
                <w:sz w:val="24"/>
                <w:szCs w:val="24"/>
                <w:lang w:val="uk-UA" w:eastAsia="ru-RU"/>
              </w:rPr>
            </w:pPr>
            <w:r w:rsidRPr="00D35AFE">
              <w:rPr>
                <w:rFonts w:ascii="Times New Roman" w:eastAsia="Times New Roman" w:hAnsi="Times New Roman" w:cs="Times New Roman"/>
                <w:sz w:val="24"/>
                <w:szCs w:val="24"/>
                <w:lang w:val="uk-UA" w:eastAsia="ru-RU"/>
              </w:rPr>
              <w:t>Знання:</w:t>
            </w:r>
          </w:p>
          <w:p w:rsidR="00F146C2" w:rsidRPr="00D35AFE" w:rsidRDefault="00F146C2" w:rsidP="00F146C2">
            <w:pPr>
              <w:spacing w:after="0" w:line="240" w:lineRule="auto"/>
              <w:ind w:left="221" w:right="132"/>
              <w:contextualSpacing/>
              <w:jc w:val="both"/>
              <w:rPr>
                <w:rFonts w:ascii="Times New Roman" w:hAnsi="Times New Roman" w:cs="Times New Roman"/>
                <w:sz w:val="24"/>
                <w:szCs w:val="24"/>
                <w:lang w:val="uk-UA" w:eastAsia="ru-RU"/>
              </w:rPr>
            </w:pPr>
            <w:r w:rsidRPr="00D35AFE">
              <w:rPr>
                <w:rFonts w:ascii="Times New Roman" w:hAnsi="Times New Roman" w:cs="Times New Roman"/>
                <w:sz w:val="24"/>
                <w:szCs w:val="24"/>
                <w:lang w:val="uk-UA" w:eastAsia="ru-RU"/>
              </w:rPr>
              <w:t>1. </w:t>
            </w:r>
            <w:r w:rsidRPr="00D35AFE">
              <w:rPr>
                <w:rFonts w:ascii="Times New Roman" w:eastAsia="Times New Roman" w:hAnsi="Times New Roman" w:cs="Times New Roman"/>
                <w:sz w:val="24"/>
                <w:szCs w:val="24"/>
                <w:lang w:val="uk-UA" w:eastAsia="ru-RU"/>
              </w:rPr>
              <w:t>Закону України</w:t>
            </w:r>
            <w:r w:rsidRPr="00D35AFE">
              <w:rPr>
                <w:rFonts w:ascii="Times New Roman" w:hAnsi="Times New Roman" w:cs="Times New Roman"/>
                <w:sz w:val="24"/>
                <w:szCs w:val="24"/>
                <w:lang w:val="uk-UA" w:eastAsia="ru-RU"/>
              </w:rPr>
              <w:t xml:space="preserve"> «Про звернення громадян».</w:t>
            </w:r>
          </w:p>
          <w:p w:rsidR="00F146C2" w:rsidRPr="00D35AFE" w:rsidRDefault="00F146C2" w:rsidP="00F146C2">
            <w:pPr>
              <w:spacing w:after="0" w:line="240" w:lineRule="auto"/>
              <w:ind w:left="221" w:right="132"/>
              <w:contextualSpacing/>
              <w:jc w:val="both"/>
              <w:rPr>
                <w:rFonts w:ascii="Times New Roman" w:hAnsi="Times New Roman" w:cs="Times New Roman"/>
                <w:sz w:val="24"/>
                <w:szCs w:val="24"/>
                <w:lang w:val="uk-UA" w:eastAsia="ru-RU"/>
              </w:rPr>
            </w:pPr>
            <w:r w:rsidRPr="00D35AFE">
              <w:rPr>
                <w:rFonts w:ascii="Times New Roman" w:hAnsi="Times New Roman" w:cs="Times New Roman"/>
                <w:sz w:val="24"/>
                <w:szCs w:val="24"/>
                <w:lang w:val="uk-UA" w:eastAsia="ru-RU"/>
              </w:rPr>
              <w:t>2. </w:t>
            </w:r>
            <w:r w:rsidRPr="00D35AFE">
              <w:rPr>
                <w:rFonts w:ascii="Times New Roman" w:eastAsia="Times New Roman" w:hAnsi="Times New Roman" w:cs="Times New Roman"/>
                <w:sz w:val="24"/>
                <w:szCs w:val="24"/>
                <w:lang w:val="uk-UA" w:eastAsia="ru-RU"/>
              </w:rPr>
              <w:t>Закону України</w:t>
            </w:r>
            <w:r w:rsidRPr="00D35AFE">
              <w:rPr>
                <w:rFonts w:ascii="Times New Roman" w:hAnsi="Times New Roman" w:cs="Times New Roman"/>
                <w:sz w:val="24"/>
                <w:szCs w:val="24"/>
                <w:lang w:val="uk-UA" w:eastAsia="ru-RU"/>
              </w:rPr>
              <w:t xml:space="preserve"> «Про доступ до публічної інформації».</w:t>
            </w:r>
          </w:p>
          <w:p w:rsidR="00F146C2" w:rsidRPr="00D35AFE" w:rsidRDefault="00F146C2" w:rsidP="00F146C2">
            <w:pPr>
              <w:spacing w:after="0" w:line="240" w:lineRule="auto"/>
              <w:ind w:left="221" w:right="132"/>
              <w:contextualSpacing/>
              <w:jc w:val="both"/>
              <w:rPr>
                <w:rFonts w:ascii="Times New Roman" w:hAnsi="Times New Roman" w:cs="Times New Roman"/>
                <w:sz w:val="24"/>
                <w:szCs w:val="24"/>
                <w:lang w:val="uk-UA" w:eastAsia="ru-RU"/>
              </w:rPr>
            </w:pPr>
            <w:r>
              <w:rPr>
                <w:rFonts w:ascii="Times New Roman" w:hAnsi="Times New Roman" w:cs="Times New Roman"/>
                <w:color w:val="000000" w:themeColor="text1"/>
                <w:sz w:val="24"/>
                <w:szCs w:val="24"/>
                <w:lang w:val="uk-UA"/>
              </w:rPr>
              <w:t>3. </w:t>
            </w:r>
            <w:r w:rsidRPr="00D35AFE">
              <w:rPr>
                <w:rFonts w:ascii="Times New Roman" w:hAnsi="Times New Roman" w:cs="Times New Roman"/>
                <w:color w:val="000000" w:themeColor="text1"/>
                <w:sz w:val="24"/>
                <w:szCs w:val="24"/>
                <w:lang w:val="uk-UA"/>
              </w:rPr>
              <w:t xml:space="preserve">Постанови Кабінету Міністрів України </w:t>
            </w:r>
            <w:r>
              <w:rPr>
                <w:rFonts w:ascii="Times New Roman" w:hAnsi="Times New Roman" w:cs="Times New Roman"/>
                <w:color w:val="000000" w:themeColor="text1"/>
                <w:sz w:val="24"/>
                <w:szCs w:val="24"/>
                <w:lang w:val="uk-UA"/>
              </w:rPr>
              <w:t xml:space="preserve">                       </w:t>
            </w:r>
            <w:r w:rsidRPr="00D35AFE">
              <w:rPr>
                <w:rFonts w:ascii="Times New Roman" w:hAnsi="Times New Roman" w:cs="Times New Roman"/>
                <w:color w:val="000000" w:themeColor="text1"/>
                <w:sz w:val="24"/>
                <w:szCs w:val="24"/>
                <w:lang w:val="uk-UA"/>
              </w:rPr>
              <w:t>від 25 березня 2015 року № 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w:t>
            </w:r>
          </w:p>
          <w:p w:rsidR="00F146C2" w:rsidRPr="00D35AFE" w:rsidRDefault="00F146C2" w:rsidP="00F146C2">
            <w:pPr>
              <w:spacing w:after="0" w:line="240" w:lineRule="auto"/>
              <w:ind w:left="221" w:right="132"/>
              <w:contextualSpacing/>
              <w:jc w:val="both"/>
              <w:rPr>
                <w:rFonts w:ascii="Times New Roman" w:hAnsi="Times New Roman" w:cs="Times New Roman"/>
                <w:color w:val="000000"/>
                <w:sz w:val="24"/>
                <w:szCs w:val="24"/>
                <w:lang w:val="uk-UA"/>
              </w:rPr>
            </w:pPr>
            <w:r w:rsidRPr="00D35AFE">
              <w:rPr>
                <w:rFonts w:ascii="Times New Roman" w:hAnsi="Times New Roman" w:cs="Times New Roman"/>
                <w:sz w:val="24"/>
                <w:szCs w:val="24"/>
                <w:lang w:val="uk-UA" w:eastAsia="ru-RU"/>
              </w:rPr>
              <w:t>4. </w:t>
            </w:r>
            <w:r w:rsidR="00DA5236">
              <w:rPr>
                <w:rFonts w:ascii="Times New Roman" w:hAnsi="Times New Roman" w:cs="Times New Roman"/>
                <w:color w:val="000000"/>
                <w:sz w:val="24"/>
                <w:szCs w:val="24"/>
                <w:lang w:val="uk-UA"/>
              </w:rPr>
              <w:t>Н</w:t>
            </w:r>
            <w:r w:rsidRPr="00D35AFE">
              <w:rPr>
                <w:rFonts w:ascii="Times New Roman" w:hAnsi="Times New Roman" w:cs="Times New Roman"/>
                <w:color w:val="000000"/>
                <w:sz w:val="24"/>
                <w:szCs w:val="24"/>
                <w:lang w:val="uk-UA"/>
              </w:rPr>
              <w:t xml:space="preserve">аказу Національного агентства з питань запобігання корупції від 27 травня 2021 року № 277/21 «Про затвердження Типового положення про уповноважений підрозділ (уповноважену особу) з питань запобігання та виявлення корупції», зареєстрованого в Міністерстві юстиції України </w:t>
            </w:r>
            <w:r>
              <w:rPr>
                <w:rFonts w:ascii="Times New Roman" w:hAnsi="Times New Roman" w:cs="Times New Roman"/>
                <w:color w:val="000000"/>
                <w:sz w:val="24"/>
                <w:szCs w:val="24"/>
                <w:lang w:val="uk-UA"/>
              </w:rPr>
              <w:t xml:space="preserve">                   </w:t>
            </w:r>
            <w:r w:rsidRPr="00D35AFE">
              <w:rPr>
                <w:rFonts w:ascii="Times New Roman" w:hAnsi="Times New Roman" w:cs="Times New Roman"/>
                <w:color w:val="000000"/>
                <w:sz w:val="24"/>
                <w:szCs w:val="24"/>
                <w:lang w:val="uk-UA"/>
              </w:rPr>
              <w:t>14 липня 2021 року за № 914/36536.</w:t>
            </w:r>
          </w:p>
          <w:p w:rsidR="00F146C2" w:rsidRPr="00D35AFE" w:rsidRDefault="00F146C2" w:rsidP="00F146C2">
            <w:pPr>
              <w:spacing w:after="0" w:line="240" w:lineRule="auto"/>
              <w:ind w:left="221" w:right="132"/>
              <w:contextualSpacing/>
              <w:jc w:val="both"/>
              <w:rPr>
                <w:rFonts w:ascii="Times New Roman" w:hAnsi="Times New Roman" w:cs="Times New Roman"/>
                <w:sz w:val="24"/>
                <w:szCs w:val="24"/>
                <w:lang w:val="uk-UA" w:eastAsia="ru-RU"/>
              </w:rPr>
            </w:pPr>
            <w:r w:rsidRPr="00D35AFE">
              <w:rPr>
                <w:rStyle w:val="a9"/>
                <w:rFonts w:ascii="Times New Roman" w:hAnsi="Times New Roman" w:cs="Times New Roman"/>
                <w:sz w:val="24"/>
                <w:szCs w:val="24"/>
              </w:rPr>
              <w:t xml:space="preserve">5.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року № 126, зареєстрованої в Міністерстві юстиції України </w:t>
            </w:r>
            <w:r>
              <w:rPr>
                <w:rStyle w:val="a9"/>
                <w:rFonts w:ascii="Times New Roman" w:hAnsi="Times New Roman" w:cs="Times New Roman"/>
                <w:sz w:val="24"/>
                <w:szCs w:val="24"/>
              </w:rPr>
              <w:t xml:space="preserve">                 </w:t>
            </w:r>
            <w:r w:rsidRPr="00D35AFE">
              <w:rPr>
                <w:rStyle w:val="a9"/>
                <w:rFonts w:ascii="Times New Roman" w:hAnsi="Times New Roman" w:cs="Times New Roman"/>
                <w:sz w:val="24"/>
                <w:szCs w:val="24"/>
              </w:rPr>
              <w:t>28 грудня 2016 року за № 1718/29848.</w:t>
            </w:r>
          </w:p>
          <w:p w:rsidR="004D6CE3" w:rsidRPr="00440C1D" w:rsidRDefault="00F146C2" w:rsidP="00F146C2">
            <w:pPr>
              <w:spacing w:after="0" w:line="240" w:lineRule="auto"/>
              <w:ind w:left="221" w:right="132"/>
              <w:jc w:val="both"/>
              <w:rPr>
                <w:rFonts w:ascii="Times New Roman" w:hAnsi="Times New Roman" w:cs="Times New Roman"/>
                <w:sz w:val="24"/>
                <w:szCs w:val="24"/>
                <w:lang w:val="uk-UA" w:eastAsia="ru-RU"/>
              </w:rPr>
            </w:pPr>
            <w:r w:rsidRPr="00D35AFE">
              <w:rPr>
                <w:rFonts w:ascii="Times New Roman" w:hAnsi="Times New Roman" w:cs="Times New Roman"/>
                <w:sz w:val="24"/>
                <w:szCs w:val="24"/>
                <w:lang w:val="uk-UA" w:eastAsia="ru-RU"/>
              </w:rPr>
              <w:t xml:space="preserve">6. Положення про Державну інспекцію </w:t>
            </w:r>
            <w:r>
              <w:rPr>
                <w:rFonts w:ascii="Times New Roman" w:hAnsi="Times New Roman" w:cs="Times New Roman"/>
                <w:sz w:val="24"/>
                <w:szCs w:val="24"/>
                <w:lang w:val="uk-UA" w:eastAsia="ru-RU"/>
              </w:rPr>
              <w:t xml:space="preserve">          </w:t>
            </w:r>
            <w:r w:rsidRPr="00D35AFE">
              <w:rPr>
                <w:rFonts w:ascii="Times New Roman" w:hAnsi="Times New Roman" w:cs="Times New Roman"/>
                <w:sz w:val="24"/>
                <w:szCs w:val="24"/>
                <w:lang w:val="uk-UA" w:eastAsia="ru-RU"/>
              </w:rPr>
              <w:t xml:space="preserve">енергетичного нагляду України, затвердженого </w:t>
            </w:r>
            <w:r>
              <w:rPr>
                <w:rFonts w:ascii="Times New Roman" w:hAnsi="Times New Roman" w:cs="Times New Roman"/>
                <w:sz w:val="24"/>
                <w:szCs w:val="24"/>
                <w:lang w:val="uk-UA" w:eastAsia="ru-RU"/>
              </w:rPr>
              <w:t xml:space="preserve">                                  </w:t>
            </w:r>
            <w:r w:rsidRPr="00D35AFE">
              <w:rPr>
                <w:rFonts w:ascii="Times New Roman" w:hAnsi="Times New Roman" w:cs="Times New Roman"/>
                <w:sz w:val="24"/>
                <w:szCs w:val="24"/>
                <w:lang w:val="uk-UA" w:eastAsia="ru-RU"/>
              </w:rPr>
              <w:t xml:space="preserve">постановою Кабінету Міністрів України </w:t>
            </w:r>
            <w:r>
              <w:rPr>
                <w:rFonts w:ascii="Times New Roman" w:hAnsi="Times New Roman" w:cs="Times New Roman"/>
                <w:sz w:val="24"/>
                <w:szCs w:val="24"/>
                <w:lang w:val="uk-UA" w:eastAsia="ru-RU"/>
              </w:rPr>
              <w:t xml:space="preserve">                                                                       </w:t>
            </w:r>
            <w:r w:rsidRPr="00D35AFE">
              <w:rPr>
                <w:rFonts w:ascii="Times New Roman" w:hAnsi="Times New Roman" w:cs="Times New Roman"/>
                <w:sz w:val="24"/>
                <w:szCs w:val="24"/>
                <w:lang w:val="uk-UA" w:eastAsia="ru-RU"/>
              </w:rPr>
              <w:t>від 14 лютого 2018 року № 77</w:t>
            </w:r>
            <w:r w:rsidR="0071715C">
              <w:rPr>
                <w:rFonts w:ascii="Times New Roman" w:hAnsi="Times New Roman" w:cs="Times New Roman"/>
                <w:sz w:val="24"/>
                <w:szCs w:val="24"/>
                <w:lang w:val="uk-UA" w:eastAsia="ru-RU"/>
              </w:rPr>
              <w:t xml:space="preserve"> (зі змінами)</w:t>
            </w:r>
            <w:r w:rsidRPr="00D35AFE">
              <w:rPr>
                <w:rFonts w:ascii="Times New Roman" w:eastAsia="Times New Roman" w:hAnsi="Times New Roman" w:cs="Times New Roman"/>
                <w:sz w:val="24"/>
                <w:szCs w:val="24"/>
                <w:lang w:val="uk-UA" w:eastAsia="ru-RU"/>
              </w:rPr>
              <w:t>.</w:t>
            </w:r>
          </w:p>
        </w:tc>
      </w:tr>
    </w:tbl>
    <w:p w:rsidR="00EF2876" w:rsidRDefault="00EF2876" w:rsidP="00085ACF">
      <w:pPr>
        <w:spacing w:after="0"/>
        <w:rPr>
          <w:rFonts w:ascii="Times New Roman" w:hAnsi="Times New Roman"/>
          <w:bCs/>
          <w:sz w:val="24"/>
          <w:szCs w:val="28"/>
        </w:rPr>
      </w:pPr>
      <w:bookmarkStart w:id="3" w:name="n767"/>
      <w:bookmarkEnd w:id="3"/>
    </w:p>
    <w:p w:rsidR="00F146C2" w:rsidRPr="003D1A07" w:rsidRDefault="00F146C2" w:rsidP="0071389A">
      <w:pPr>
        <w:spacing w:after="0"/>
        <w:rPr>
          <w:rFonts w:ascii="Times New Roman" w:hAnsi="Times New Roman"/>
          <w:b/>
          <w:bCs/>
          <w:sz w:val="28"/>
          <w:szCs w:val="28"/>
        </w:rPr>
      </w:pPr>
      <w:r w:rsidRPr="003D1A07">
        <w:rPr>
          <w:rFonts w:ascii="Times New Roman" w:hAnsi="Times New Roman"/>
          <w:b/>
          <w:bCs/>
          <w:sz w:val="28"/>
          <w:szCs w:val="28"/>
          <w:lang w:val="uk-UA"/>
        </w:rPr>
        <w:t>Н</w:t>
      </w:r>
      <w:proofErr w:type="spellStart"/>
      <w:r w:rsidRPr="003D1A07">
        <w:rPr>
          <w:rFonts w:ascii="Times New Roman" w:hAnsi="Times New Roman"/>
          <w:b/>
          <w:bCs/>
          <w:sz w:val="28"/>
          <w:szCs w:val="28"/>
        </w:rPr>
        <w:t>ачальник</w:t>
      </w:r>
      <w:proofErr w:type="spellEnd"/>
      <w:r w:rsidRPr="003D1A07">
        <w:rPr>
          <w:rFonts w:ascii="Times New Roman" w:hAnsi="Times New Roman"/>
          <w:b/>
          <w:bCs/>
          <w:sz w:val="28"/>
          <w:szCs w:val="28"/>
        </w:rPr>
        <w:t xml:space="preserve"> </w:t>
      </w:r>
      <w:r w:rsidR="00085ACF" w:rsidRPr="003D1A07">
        <w:rPr>
          <w:rFonts w:ascii="Times New Roman" w:hAnsi="Times New Roman"/>
          <w:b/>
          <w:bCs/>
          <w:sz w:val="28"/>
          <w:szCs w:val="28"/>
        </w:rPr>
        <w:t xml:space="preserve">Управління </w:t>
      </w:r>
    </w:p>
    <w:p w:rsidR="00F6300B" w:rsidRPr="00F146C2" w:rsidRDefault="00085ACF" w:rsidP="0071389A">
      <w:pPr>
        <w:spacing w:after="0"/>
        <w:rPr>
          <w:rFonts w:ascii="Times New Roman" w:hAnsi="Times New Roman"/>
          <w:bCs/>
          <w:sz w:val="28"/>
          <w:szCs w:val="28"/>
          <w:lang w:val="uk-UA"/>
        </w:rPr>
      </w:pPr>
      <w:r w:rsidRPr="003D1A07">
        <w:rPr>
          <w:rFonts w:ascii="Times New Roman" w:hAnsi="Times New Roman"/>
          <w:b/>
          <w:bCs/>
          <w:sz w:val="28"/>
          <w:szCs w:val="28"/>
        </w:rPr>
        <w:t xml:space="preserve">по </w:t>
      </w:r>
      <w:proofErr w:type="spellStart"/>
      <w:r w:rsidRPr="003D1A07">
        <w:rPr>
          <w:rFonts w:ascii="Times New Roman" w:hAnsi="Times New Roman"/>
          <w:b/>
          <w:bCs/>
          <w:sz w:val="28"/>
          <w:szCs w:val="28"/>
        </w:rPr>
        <w:t>роботі</w:t>
      </w:r>
      <w:proofErr w:type="spellEnd"/>
      <w:r w:rsidRPr="003D1A07">
        <w:rPr>
          <w:rFonts w:ascii="Times New Roman" w:hAnsi="Times New Roman"/>
          <w:b/>
          <w:bCs/>
          <w:sz w:val="28"/>
          <w:szCs w:val="28"/>
        </w:rPr>
        <w:t xml:space="preserve"> з персоналом</w:t>
      </w:r>
      <w:r w:rsidRPr="003D1A07">
        <w:rPr>
          <w:rFonts w:ascii="Times New Roman" w:hAnsi="Times New Roman"/>
          <w:b/>
          <w:bCs/>
          <w:sz w:val="28"/>
          <w:szCs w:val="28"/>
        </w:rPr>
        <w:tab/>
        <w:t xml:space="preserve">  </w:t>
      </w:r>
      <w:r w:rsidR="00D70118" w:rsidRPr="003D1A07">
        <w:rPr>
          <w:rFonts w:ascii="Times New Roman" w:hAnsi="Times New Roman"/>
          <w:b/>
          <w:bCs/>
          <w:sz w:val="28"/>
          <w:szCs w:val="28"/>
          <w:lang w:val="uk-UA"/>
        </w:rPr>
        <w:t xml:space="preserve">                                </w:t>
      </w:r>
      <w:r w:rsidR="003D1A07">
        <w:rPr>
          <w:rFonts w:ascii="Times New Roman" w:hAnsi="Times New Roman"/>
          <w:b/>
          <w:bCs/>
          <w:sz w:val="28"/>
          <w:szCs w:val="28"/>
          <w:lang w:val="uk-UA"/>
        </w:rPr>
        <w:t xml:space="preserve">                           </w:t>
      </w:r>
      <w:r w:rsidR="0071715C">
        <w:rPr>
          <w:rFonts w:ascii="Times New Roman" w:hAnsi="Times New Roman"/>
          <w:b/>
          <w:bCs/>
          <w:sz w:val="28"/>
          <w:szCs w:val="28"/>
          <w:lang w:val="uk-UA"/>
        </w:rPr>
        <w:t xml:space="preserve"> </w:t>
      </w:r>
      <w:r w:rsidR="00F146C2" w:rsidRPr="003D1A07">
        <w:rPr>
          <w:rFonts w:ascii="Times New Roman" w:hAnsi="Times New Roman"/>
          <w:b/>
          <w:bCs/>
          <w:sz w:val="28"/>
          <w:szCs w:val="28"/>
          <w:lang w:val="uk-UA"/>
        </w:rPr>
        <w:t>Тетяна КОЗАК</w:t>
      </w:r>
    </w:p>
    <w:sectPr w:rsidR="00F6300B" w:rsidRPr="00F146C2" w:rsidSect="00F146C2">
      <w:pgSz w:w="11906" w:h="16838"/>
      <w:pgMar w:top="127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2" w15:restartNumberingAfterBreak="0">
    <w:nsid w:val="2E010E76"/>
    <w:multiLevelType w:val="hybridMultilevel"/>
    <w:tmpl w:val="094E3BC2"/>
    <w:lvl w:ilvl="0" w:tplc="0422000F">
      <w:start w:val="1"/>
      <w:numFmt w:val="decimal"/>
      <w:lvlText w:val="%1."/>
      <w:lvlJc w:val="left"/>
      <w:pPr>
        <w:ind w:left="941" w:hanging="360"/>
      </w:pPr>
    </w:lvl>
    <w:lvl w:ilvl="1" w:tplc="04220019" w:tentative="1">
      <w:start w:val="1"/>
      <w:numFmt w:val="lowerLetter"/>
      <w:lvlText w:val="%2."/>
      <w:lvlJc w:val="left"/>
      <w:pPr>
        <w:ind w:left="1661" w:hanging="360"/>
      </w:pPr>
    </w:lvl>
    <w:lvl w:ilvl="2" w:tplc="0422001B" w:tentative="1">
      <w:start w:val="1"/>
      <w:numFmt w:val="lowerRoman"/>
      <w:lvlText w:val="%3."/>
      <w:lvlJc w:val="right"/>
      <w:pPr>
        <w:ind w:left="2381" w:hanging="180"/>
      </w:pPr>
    </w:lvl>
    <w:lvl w:ilvl="3" w:tplc="0422000F" w:tentative="1">
      <w:start w:val="1"/>
      <w:numFmt w:val="decimal"/>
      <w:lvlText w:val="%4."/>
      <w:lvlJc w:val="left"/>
      <w:pPr>
        <w:ind w:left="3101" w:hanging="360"/>
      </w:pPr>
    </w:lvl>
    <w:lvl w:ilvl="4" w:tplc="04220019" w:tentative="1">
      <w:start w:val="1"/>
      <w:numFmt w:val="lowerLetter"/>
      <w:lvlText w:val="%5."/>
      <w:lvlJc w:val="left"/>
      <w:pPr>
        <w:ind w:left="3821" w:hanging="360"/>
      </w:pPr>
    </w:lvl>
    <w:lvl w:ilvl="5" w:tplc="0422001B" w:tentative="1">
      <w:start w:val="1"/>
      <w:numFmt w:val="lowerRoman"/>
      <w:lvlText w:val="%6."/>
      <w:lvlJc w:val="right"/>
      <w:pPr>
        <w:ind w:left="4541" w:hanging="180"/>
      </w:pPr>
    </w:lvl>
    <w:lvl w:ilvl="6" w:tplc="0422000F" w:tentative="1">
      <w:start w:val="1"/>
      <w:numFmt w:val="decimal"/>
      <w:lvlText w:val="%7."/>
      <w:lvlJc w:val="left"/>
      <w:pPr>
        <w:ind w:left="5261" w:hanging="360"/>
      </w:pPr>
    </w:lvl>
    <w:lvl w:ilvl="7" w:tplc="04220019" w:tentative="1">
      <w:start w:val="1"/>
      <w:numFmt w:val="lowerLetter"/>
      <w:lvlText w:val="%8."/>
      <w:lvlJc w:val="left"/>
      <w:pPr>
        <w:ind w:left="5981" w:hanging="360"/>
      </w:pPr>
    </w:lvl>
    <w:lvl w:ilvl="8" w:tplc="0422001B" w:tentative="1">
      <w:start w:val="1"/>
      <w:numFmt w:val="lowerRoman"/>
      <w:lvlText w:val="%9."/>
      <w:lvlJc w:val="right"/>
      <w:pPr>
        <w:ind w:left="6701" w:hanging="180"/>
      </w:pPr>
    </w:lvl>
  </w:abstractNum>
  <w:abstractNum w:abstractNumId="3" w15:restartNumberingAfterBreak="0">
    <w:nsid w:val="571A42F2"/>
    <w:multiLevelType w:val="hybridMultilevel"/>
    <w:tmpl w:val="5A7E21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41305"/>
    <w:rsid w:val="0004524F"/>
    <w:rsid w:val="00046D8F"/>
    <w:rsid w:val="00074855"/>
    <w:rsid w:val="00085ACF"/>
    <w:rsid w:val="00091428"/>
    <w:rsid w:val="00092612"/>
    <w:rsid w:val="000C7D11"/>
    <w:rsid w:val="00164318"/>
    <w:rsid w:val="001728B1"/>
    <w:rsid w:val="001A4CD9"/>
    <w:rsid w:val="001A5E8C"/>
    <w:rsid w:val="001B641A"/>
    <w:rsid w:val="001C3886"/>
    <w:rsid w:val="001C728C"/>
    <w:rsid w:val="001D1D62"/>
    <w:rsid w:val="001E650D"/>
    <w:rsid w:val="0024659F"/>
    <w:rsid w:val="0025003B"/>
    <w:rsid w:val="002518EA"/>
    <w:rsid w:val="00266B2B"/>
    <w:rsid w:val="002B6D79"/>
    <w:rsid w:val="002C169B"/>
    <w:rsid w:val="00324070"/>
    <w:rsid w:val="00324CC4"/>
    <w:rsid w:val="00325453"/>
    <w:rsid w:val="0034320A"/>
    <w:rsid w:val="003D1A07"/>
    <w:rsid w:val="003D2149"/>
    <w:rsid w:val="003E2C5A"/>
    <w:rsid w:val="003E695F"/>
    <w:rsid w:val="00421DE9"/>
    <w:rsid w:val="004405FB"/>
    <w:rsid w:val="00440C1D"/>
    <w:rsid w:val="00456E00"/>
    <w:rsid w:val="00487239"/>
    <w:rsid w:val="004B089E"/>
    <w:rsid w:val="004D16F2"/>
    <w:rsid w:val="004D6CE3"/>
    <w:rsid w:val="004F45AD"/>
    <w:rsid w:val="005150CE"/>
    <w:rsid w:val="00530734"/>
    <w:rsid w:val="005637BA"/>
    <w:rsid w:val="005641C6"/>
    <w:rsid w:val="0058593A"/>
    <w:rsid w:val="005970E7"/>
    <w:rsid w:val="005D6D23"/>
    <w:rsid w:val="00627707"/>
    <w:rsid w:val="006334A4"/>
    <w:rsid w:val="00642BC8"/>
    <w:rsid w:val="00644481"/>
    <w:rsid w:val="00677EF1"/>
    <w:rsid w:val="0069241E"/>
    <w:rsid w:val="00694B83"/>
    <w:rsid w:val="006D5B01"/>
    <w:rsid w:val="0071389A"/>
    <w:rsid w:val="0071715C"/>
    <w:rsid w:val="007220BD"/>
    <w:rsid w:val="00722CF7"/>
    <w:rsid w:val="007235D4"/>
    <w:rsid w:val="0073097D"/>
    <w:rsid w:val="007479DA"/>
    <w:rsid w:val="0077152F"/>
    <w:rsid w:val="007A01A9"/>
    <w:rsid w:val="007D4278"/>
    <w:rsid w:val="00831A6B"/>
    <w:rsid w:val="00857F41"/>
    <w:rsid w:val="00885EC3"/>
    <w:rsid w:val="008C396B"/>
    <w:rsid w:val="008F263C"/>
    <w:rsid w:val="00913765"/>
    <w:rsid w:val="009220F0"/>
    <w:rsid w:val="009311C9"/>
    <w:rsid w:val="0097380E"/>
    <w:rsid w:val="009879AB"/>
    <w:rsid w:val="0099482D"/>
    <w:rsid w:val="009C1584"/>
    <w:rsid w:val="009C48AC"/>
    <w:rsid w:val="009C6440"/>
    <w:rsid w:val="00A02169"/>
    <w:rsid w:val="00A06A4E"/>
    <w:rsid w:val="00A27B88"/>
    <w:rsid w:val="00A5157A"/>
    <w:rsid w:val="00A71301"/>
    <w:rsid w:val="00A83378"/>
    <w:rsid w:val="00A95116"/>
    <w:rsid w:val="00A96562"/>
    <w:rsid w:val="00AE2FD1"/>
    <w:rsid w:val="00AF78BE"/>
    <w:rsid w:val="00B15D37"/>
    <w:rsid w:val="00B169DB"/>
    <w:rsid w:val="00B52792"/>
    <w:rsid w:val="00B6003D"/>
    <w:rsid w:val="00B93A05"/>
    <w:rsid w:val="00BA26BB"/>
    <w:rsid w:val="00BE6BCA"/>
    <w:rsid w:val="00C16027"/>
    <w:rsid w:val="00C16EAF"/>
    <w:rsid w:val="00C415C6"/>
    <w:rsid w:val="00C47750"/>
    <w:rsid w:val="00C86F0D"/>
    <w:rsid w:val="00CA2B07"/>
    <w:rsid w:val="00CB0CDE"/>
    <w:rsid w:val="00CD0972"/>
    <w:rsid w:val="00CD39CD"/>
    <w:rsid w:val="00CF086E"/>
    <w:rsid w:val="00CF2A8D"/>
    <w:rsid w:val="00D0377C"/>
    <w:rsid w:val="00D04E2A"/>
    <w:rsid w:val="00D5407C"/>
    <w:rsid w:val="00D566B2"/>
    <w:rsid w:val="00D70118"/>
    <w:rsid w:val="00DA5236"/>
    <w:rsid w:val="00DD0C47"/>
    <w:rsid w:val="00DD209B"/>
    <w:rsid w:val="00DD7DBC"/>
    <w:rsid w:val="00DE6E08"/>
    <w:rsid w:val="00E13F5A"/>
    <w:rsid w:val="00E14124"/>
    <w:rsid w:val="00E6499A"/>
    <w:rsid w:val="00EB41D3"/>
    <w:rsid w:val="00EC5AA9"/>
    <w:rsid w:val="00ED29BA"/>
    <w:rsid w:val="00EF0220"/>
    <w:rsid w:val="00EF11FE"/>
    <w:rsid w:val="00EF2876"/>
    <w:rsid w:val="00F01A67"/>
    <w:rsid w:val="00F0430A"/>
    <w:rsid w:val="00F04656"/>
    <w:rsid w:val="00F146C2"/>
    <w:rsid w:val="00F245E2"/>
    <w:rsid w:val="00F31FBD"/>
    <w:rsid w:val="00F345C9"/>
    <w:rsid w:val="00F5341F"/>
    <w:rsid w:val="00F61702"/>
    <w:rsid w:val="00F627F3"/>
    <w:rsid w:val="00F6300B"/>
    <w:rsid w:val="00F66717"/>
    <w:rsid w:val="00F84BF3"/>
    <w:rsid w:val="00F86951"/>
    <w:rsid w:val="00F913A4"/>
    <w:rsid w:val="00F972B1"/>
    <w:rsid w:val="00FA26D2"/>
    <w:rsid w:val="00FB30BC"/>
    <w:rsid w:val="00FB311F"/>
    <w:rsid w:val="00FD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C6A38-734F-4CD3-81E5-D89CC9F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Body Text"/>
    <w:basedOn w:val="a"/>
    <w:link w:val="a9"/>
    <w:uiPriority w:val="99"/>
    <w:semiHidden/>
    <w:unhideWhenUsed/>
    <w:rsid w:val="00F146C2"/>
    <w:pPr>
      <w:shd w:val="clear" w:color="auto" w:fill="FFFFFF"/>
      <w:spacing w:before="240" w:after="60" w:line="240" w:lineRule="atLeast"/>
      <w:jc w:val="both"/>
    </w:pPr>
    <w:rPr>
      <w:rFonts w:ascii="Calibri" w:hAnsi="Calibri" w:cs="Calibri"/>
      <w:sz w:val="26"/>
      <w:szCs w:val="26"/>
      <w:lang w:val="uk-UA" w:eastAsia="uk-UA"/>
    </w:rPr>
  </w:style>
  <w:style w:type="character" w:customStyle="1" w:styleId="a9">
    <w:name w:val="Основний текст Знак"/>
    <w:basedOn w:val="a0"/>
    <w:link w:val="a8"/>
    <w:uiPriority w:val="99"/>
    <w:semiHidden/>
    <w:rsid w:val="00F146C2"/>
    <w:rPr>
      <w:rFonts w:ascii="Calibri" w:hAnsi="Calibri" w:cs="Calibri"/>
      <w:sz w:val="26"/>
      <w:szCs w:val="26"/>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932">
      <w:bodyDiv w:val="1"/>
      <w:marLeft w:val="0"/>
      <w:marRight w:val="0"/>
      <w:marTop w:val="0"/>
      <w:marBottom w:val="0"/>
      <w:divBdr>
        <w:top w:val="none" w:sz="0" w:space="0" w:color="auto"/>
        <w:left w:val="none" w:sz="0" w:space="0" w:color="auto"/>
        <w:bottom w:val="none" w:sz="0" w:space="0" w:color="auto"/>
        <w:right w:val="none" w:sz="0" w:space="0" w:color="auto"/>
      </w:divBdr>
    </w:div>
    <w:div w:id="82846965">
      <w:bodyDiv w:val="1"/>
      <w:marLeft w:val="0"/>
      <w:marRight w:val="0"/>
      <w:marTop w:val="0"/>
      <w:marBottom w:val="0"/>
      <w:divBdr>
        <w:top w:val="none" w:sz="0" w:space="0" w:color="auto"/>
        <w:left w:val="none" w:sz="0" w:space="0" w:color="auto"/>
        <w:bottom w:val="none" w:sz="0" w:space="0" w:color="auto"/>
        <w:right w:val="none" w:sz="0" w:space="0" w:color="auto"/>
      </w:divBdr>
    </w:div>
    <w:div w:id="88894203">
      <w:bodyDiv w:val="1"/>
      <w:marLeft w:val="0"/>
      <w:marRight w:val="0"/>
      <w:marTop w:val="0"/>
      <w:marBottom w:val="0"/>
      <w:divBdr>
        <w:top w:val="none" w:sz="0" w:space="0" w:color="auto"/>
        <w:left w:val="none" w:sz="0" w:space="0" w:color="auto"/>
        <w:bottom w:val="none" w:sz="0" w:space="0" w:color="auto"/>
        <w:right w:val="none" w:sz="0" w:space="0" w:color="auto"/>
      </w:divBdr>
    </w:div>
    <w:div w:id="164710113">
      <w:bodyDiv w:val="1"/>
      <w:marLeft w:val="0"/>
      <w:marRight w:val="0"/>
      <w:marTop w:val="0"/>
      <w:marBottom w:val="0"/>
      <w:divBdr>
        <w:top w:val="none" w:sz="0" w:space="0" w:color="auto"/>
        <w:left w:val="none" w:sz="0" w:space="0" w:color="auto"/>
        <w:bottom w:val="none" w:sz="0" w:space="0" w:color="auto"/>
        <w:right w:val="none" w:sz="0" w:space="0" w:color="auto"/>
      </w:divBdr>
    </w:div>
    <w:div w:id="284236463">
      <w:bodyDiv w:val="1"/>
      <w:marLeft w:val="0"/>
      <w:marRight w:val="0"/>
      <w:marTop w:val="0"/>
      <w:marBottom w:val="0"/>
      <w:divBdr>
        <w:top w:val="none" w:sz="0" w:space="0" w:color="auto"/>
        <w:left w:val="none" w:sz="0" w:space="0" w:color="auto"/>
        <w:bottom w:val="none" w:sz="0" w:space="0" w:color="auto"/>
        <w:right w:val="none" w:sz="0" w:space="0" w:color="auto"/>
      </w:divBdr>
    </w:div>
    <w:div w:id="35003413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0457479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7334123">
      <w:bodyDiv w:val="1"/>
      <w:marLeft w:val="0"/>
      <w:marRight w:val="0"/>
      <w:marTop w:val="0"/>
      <w:marBottom w:val="0"/>
      <w:divBdr>
        <w:top w:val="none" w:sz="0" w:space="0" w:color="auto"/>
        <w:left w:val="none" w:sz="0" w:space="0" w:color="auto"/>
        <w:bottom w:val="none" w:sz="0" w:space="0" w:color="auto"/>
        <w:right w:val="none" w:sz="0" w:space="0" w:color="auto"/>
      </w:divBdr>
    </w:div>
    <w:div w:id="755790309">
      <w:bodyDiv w:val="1"/>
      <w:marLeft w:val="0"/>
      <w:marRight w:val="0"/>
      <w:marTop w:val="0"/>
      <w:marBottom w:val="0"/>
      <w:divBdr>
        <w:top w:val="none" w:sz="0" w:space="0" w:color="auto"/>
        <w:left w:val="none" w:sz="0" w:space="0" w:color="auto"/>
        <w:bottom w:val="none" w:sz="0" w:space="0" w:color="auto"/>
        <w:right w:val="none" w:sz="0" w:space="0" w:color="auto"/>
      </w:divBdr>
    </w:div>
    <w:div w:id="841815690">
      <w:bodyDiv w:val="1"/>
      <w:marLeft w:val="0"/>
      <w:marRight w:val="0"/>
      <w:marTop w:val="0"/>
      <w:marBottom w:val="0"/>
      <w:divBdr>
        <w:top w:val="none" w:sz="0" w:space="0" w:color="auto"/>
        <w:left w:val="none" w:sz="0" w:space="0" w:color="auto"/>
        <w:bottom w:val="none" w:sz="0" w:space="0" w:color="auto"/>
        <w:right w:val="none" w:sz="0" w:space="0" w:color="auto"/>
      </w:divBdr>
    </w:div>
    <w:div w:id="998731270">
      <w:bodyDiv w:val="1"/>
      <w:marLeft w:val="0"/>
      <w:marRight w:val="0"/>
      <w:marTop w:val="0"/>
      <w:marBottom w:val="0"/>
      <w:divBdr>
        <w:top w:val="none" w:sz="0" w:space="0" w:color="auto"/>
        <w:left w:val="none" w:sz="0" w:space="0" w:color="auto"/>
        <w:bottom w:val="none" w:sz="0" w:space="0" w:color="auto"/>
        <w:right w:val="none" w:sz="0" w:space="0" w:color="auto"/>
      </w:divBdr>
    </w:div>
    <w:div w:id="1162043108">
      <w:bodyDiv w:val="1"/>
      <w:marLeft w:val="0"/>
      <w:marRight w:val="0"/>
      <w:marTop w:val="0"/>
      <w:marBottom w:val="0"/>
      <w:divBdr>
        <w:top w:val="none" w:sz="0" w:space="0" w:color="auto"/>
        <w:left w:val="none" w:sz="0" w:space="0" w:color="auto"/>
        <w:bottom w:val="none" w:sz="0" w:space="0" w:color="auto"/>
        <w:right w:val="none" w:sz="0" w:space="0" w:color="auto"/>
      </w:divBdr>
    </w:div>
    <w:div w:id="1305432007">
      <w:bodyDiv w:val="1"/>
      <w:marLeft w:val="0"/>
      <w:marRight w:val="0"/>
      <w:marTop w:val="0"/>
      <w:marBottom w:val="0"/>
      <w:divBdr>
        <w:top w:val="none" w:sz="0" w:space="0" w:color="auto"/>
        <w:left w:val="none" w:sz="0" w:space="0" w:color="auto"/>
        <w:bottom w:val="none" w:sz="0" w:space="0" w:color="auto"/>
        <w:right w:val="none" w:sz="0" w:space="0" w:color="auto"/>
      </w:divBdr>
    </w:div>
    <w:div w:id="1353720636">
      <w:bodyDiv w:val="1"/>
      <w:marLeft w:val="0"/>
      <w:marRight w:val="0"/>
      <w:marTop w:val="0"/>
      <w:marBottom w:val="0"/>
      <w:divBdr>
        <w:top w:val="none" w:sz="0" w:space="0" w:color="auto"/>
        <w:left w:val="none" w:sz="0" w:space="0" w:color="auto"/>
        <w:bottom w:val="none" w:sz="0" w:space="0" w:color="auto"/>
        <w:right w:val="none" w:sz="0" w:space="0" w:color="auto"/>
      </w:divBdr>
    </w:div>
    <w:div w:id="1387950456">
      <w:bodyDiv w:val="1"/>
      <w:marLeft w:val="0"/>
      <w:marRight w:val="0"/>
      <w:marTop w:val="0"/>
      <w:marBottom w:val="0"/>
      <w:divBdr>
        <w:top w:val="none" w:sz="0" w:space="0" w:color="auto"/>
        <w:left w:val="none" w:sz="0" w:space="0" w:color="auto"/>
        <w:bottom w:val="none" w:sz="0" w:space="0" w:color="auto"/>
        <w:right w:val="none" w:sz="0" w:space="0" w:color="auto"/>
      </w:divBdr>
    </w:div>
    <w:div w:id="1456173628">
      <w:bodyDiv w:val="1"/>
      <w:marLeft w:val="0"/>
      <w:marRight w:val="0"/>
      <w:marTop w:val="0"/>
      <w:marBottom w:val="0"/>
      <w:divBdr>
        <w:top w:val="none" w:sz="0" w:space="0" w:color="auto"/>
        <w:left w:val="none" w:sz="0" w:space="0" w:color="auto"/>
        <w:bottom w:val="none" w:sz="0" w:space="0" w:color="auto"/>
        <w:right w:val="none" w:sz="0" w:space="0" w:color="auto"/>
      </w:divBdr>
    </w:div>
    <w:div w:id="1634867725">
      <w:bodyDiv w:val="1"/>
      <w:marLeft w:val="0"/>
      <w:marRight w:val="0"/>
      <w:marTop w:val="0"/>
      <w:marBottom w:val="0"/>
      <w:divBdr>
        <w:top w:val="none" w:sz="0" w:space="0" w:color="auto"/>
        <w:left w:val="none" w:sz="0" w:space="0" w:color="auto"/>
        <w:bottom w:val="none" w:sz="0" w:space="0" w:color="auto"/>
        <w:right w:val="none" w:sz="0" w:space="0" w:color="auto"/>
      </w:divBdr>
    </w:div>
    <w:div w:id="1714036262">
      <w:bodyDiv w:val="1"/>
      <w:marLeft w:val="0"/>
      <w:marRight w:val="0"/>
      <w:marTop w:val="0"/>
      <w:marBottom w:val="0"/>
      <w:divBdr>
        <w:top w:val="none" w:sz="0" w:space="0" w:color="auto"/>
        <w:left w:val="none" w:sz="0" w:space="0" w:color="auto"/>
        <w:bottom w:val="none" w:sz="0" w:space="0" w:color="auto"/>
        <w:right w:val="none" w:sz="0" w:space="0" w:color="auto"/>
      </w:divBdr>
    </w:div>
    <w:div w:id="1841119180">
      <w:bodyDiv w:val="1"/>
      <w:marLeft w:val="0"/>
      <w:marRight w:val="0"/>
      <w:marTop w:val="0"/>
      <w:marBottom w:val="0"/>
      <w:divBdr>
        <w:top w:val="none" w:sz="0" w:space="0" w:color="auto"/>
        <w:left w:val="none" w:sz="0" w:space="0" w:color="auto"/>
        <w:bottom w:val="none" w:sz="0" w:space="0" w:color="auto"/>
        <w:right w:val="none" w:sz="0" w:space="0" w:color="auto"/>
      </w:divBdr>
    </w:div>
    <w:div w:id="1944602904">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6807</Words>
  <Characters>3881</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128</cp:revision>
  <cp:lastPrinted>2021-03-22T09:11:00Z</cp:lastPrinted>
  <dcterms:created xsi:type="dcterms:W3CDTF">2021-03-22T09:14:00Z</dcterms:created>
  <dcterms:modified xsi:type="dcterms:W3CDTF">2021-11-24T07:43:00Z</dcterms:modified>
</cp:coreProperties>
</file>