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A5896" w:rsidRPr="00361521" w:rsidRDefault="0040276C" w:rsidP="003A589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D56160" w:rsidRPr="00D56160">
        <w:rPr>
          <w:rFonts w:eastAsiaTheme="minorHAnsi"/>
          <w:lang w:val="uk-UA" w:eastAsia="en-US"/>
        </w:rPr>
        <w:t xml:space="preserve"> </w:t>
      </w:r>
      <w:r w:rsidR="00E86561" w:rsidRPr="00D56160">
        <w:rPr>
          <w:rFonts w:eastAsiaTheme="minorHAnsi"/>
          <w:lang w:val="uk-UA" w:eastAsia="en-US"/>
        </w:rPr>
        <w:t>жовтня 2021 року №</w:t>
      </w:r>
      <w:r>
        <w:rPr>
          <w:rFonts w:eastAsiaTheme="minorHAnsi"/>
          <w:lang w:val="uk-UA" w:eastAsia="en-US"/>
        </w:rPr>
        <w:t xml:space="preserve"> 222</w:t>
      </w:r>
      <w:bookmarkStart w:id="1" w:name="_GoBack"/>
      <w:bookmarkEnd w:id="1"/>
      <w:r w:rsidR="00E86561"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p>
    <w:p w:rsidR="00B15D37" w:rsidRDefault="00B15D37"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AE71B4">
        <w:rPr>
          <w:rFonts w:ascii="Times New Roman" w:eastAsia="Times New Roman" w:hAnsi="Times New Roman" w:cs="Times New Roman"/>
          <w:b/>
          <w:bCs/>
          <w:color w:val="333333"/>
          <w:sz w:val="24"/>
          <w:szCs w:val="24"/>
          <w:lang w:val="uk-UA" w:eastAsia="ru-RU"/>
        </w:rPr>
        <w:t>з</w:t>
      </w:r>
      <w:r w:rsidR="00AE71B4" w:rsidRPr="00AE71B4">
        <w:rPr>
          <w:rFonts w:ascii="Times New Roman" w:eastAsia="Times New Roman" w:hAnsi="Times New Roman" w:cs="Times New Roman"/>
          <w:b/>
          <w:bCs/>
          <w:color w:val="333333"/>
          <w:sz w:val="24"/>
          <w:szCs w:val="24"/>
          <w:lang w:val="uk-UA" w:eastAsia="ru-RU"/>
        </w:rPr>
        <w:t>авідувач</w:t>
      </w:r>
      <w:r w:rsidR="00AE71B4">
        <w:rPr>
          <w:rFonts w:ascii="Times New Roman" w:eastAsia="Times New Roman" w:hAnsi="Times New Roman" w:cs="Times New Roman"/>
          <w:b/>
          <w:bCs/>
          <w:color w:val="333333"/>
          <w:sz w:val="24"/>
          <w:szCs w:val="24"/>
          <w:lang w:val="uk-UA" w:eastAsia="ru-RU"/>
        </w:rPr>
        <w:t>а Лубенського сектору – старшого державного</w:t>
      </w:r>
      <w:r w:rsidR="00AE71B4" w:rsidRPr="00AE71B4">
        <w:rPr>
          <w:rFonts w:ascii="Times New Roman" w:eastAsia="Times New Roman" w:hAnsi="Times New Roman" w:cs="Times New Roman"/>
          <w:b/>
          <w:bCs/>
          <w:color w:val="333333"/>
          <w:sz w:val="24"/>
          <w:szCs w:val="24"/>
          <w:lang w:val="uk-UA" w:eastAsia="ru-RU"/>
        </w:rPr>
        <w:t xml:space="preserve"> інспектор</w:t>
      </w:r>
      <w:r w:rsidR="00AE71B4">
        <w:rPr>
          <w:rFonts w:ascii="Times New Roman" w:eastAsia="Times New Roman" w:hAnsi="Times New Roman" w:cs="Times New Roman"/>
          <w:b/>
          <w:bCs/>
          <w:color w:val="333333"/>
          <w:sz w:val="24"/>
          <w:szCs w:val="24"/>
          <w:lang w:val="uk-UA" w:eastAsia="ru-RU"/>
        </w:rPr>
        <w:t>а</w:t>
      </w:r>
      <w:r w:rsidR="00AE71B4" w:rsidRPr="00AE71B4">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AE71B4" w:rsidRPr="00AE71B4">
        <w:rPr>
          <w:rFonts w:ascii="Times New Roman" w:eastAsia="Times New Roman" w:hAnsi="Times New Roman" w:cs="Times New Roman"/>
          <w:b/>
          <w:bCs/>
          <w:color w:val="333333"/>
          <w:sz w:val="24"/>
          <w:szCs w:val="24"/>
          <w:lang w:val="uk-UA" w:eastAsia="ru-RU"/>
        </w:rPr>
        <w:t>Держенергонагляду</w:t>
      </w:r>
      <w:proofErr w:type="spellEnd"/>
      <w:r w:rsidR="00AE71B4" w:rsidRPr="00AE71B4">
        <w:rPr>
          <w:rFonts w:ascii="Times New Roman" w:eastAsia="Times New Roman" w:hAnsi="Times New Roman" w:cs="Times New Roman"/>
          <w:b/>
          <w:bCs/>
          <w:color w:val="333333"/>
          <w:sz w:val="24"/>
          <w:szCs w:val="24"/>
          <w:lang w:val="uk-UA" w:eastAsia="ru-RU"/>
        </w:rPr>
        <w:t xml:space="preserve"> у Полтавській області</w:t>
      </w:r>
    </w:p>
    <w:p w:rsidR="009A2EFD" w:rsidRPr="00361521" w:rsidRDefault="009A2EFD"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40276C"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rsidR="00103FFD"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rsidR="00103FFD" w:rsidRPr="00FD5BF7"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забезпеченням належного технічного стану елементів </w:t>
            </w:r>
            <w:r w:rsidRPr="0012453C">
              <w:rPr>
                <w:rFonts w:ascii="Times New Roman" w:eastAsia="Times New Roman" w:hAnsi="Times New Roman" w:cs="Times New Roman"/>
                <w:sz w:val="24"/>
                <w:szCs w:val="24"/>
                <w:lang w:val="uk-UA" w:eastAsia="ru-RU"/>
              </w:rPr>
              <w:lastRenderedPageBreak/>
              <w:t>обладнання системної протиаварійної автоматики, встановлених у учасників ринку (у тому числі споживачів).</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03FFD" w:rsidRPr="0012453C" w:rsidRDefault="00103FFD" w:rsidP="00103FFD">
            <w:pPr>
              <w:pStyle w:val="a5"/>
              <w:numPr>
                <w:ilvl w:val="1"/>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103FFD" w:rsidRPr="0012453C" w:rsidRDefault="00103FFD" w:rsidP="00103FFD">
            <w:pPr>
              <w:pStyle w:val="a5"/>
              <w:numPr>
                <w:ilvl w:val="0"/>
                <w:numId w:val="6"/>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 xml:space="preserve">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w:t>
            </w:r>
            <w:r w:rsidRPr="0012453C">
              <w:rPr>
                <w:rFonts w:ascii="Times New Roman" w:eastAsia="Times New Roman" w:hAnsi="Times New Roman" w:cs="Times New Roman"/>
                <w:sz w:val="24"/>
                <w:szCs w:val="24"/>
                <w:lang w:val="uk-UA" w:eastAsia="ru-RU"/>
              </w:rPr>
              <w:lastRenderedPageBreak/>
              <w:t>його виникнення, а також здійснює розподіл обов’язків між працівниками.</w:t>
            </w:r>
          </w:p>
          <w:p w:rsidR="00B15D37" w:rsidRPr="003377BD" w:rsidRDefault="00103FFD" w:rsidP="00103FFD">
            <w:pPr>
              <w:spacing w:after="0" w:line="240" w:lineRule="auto"/>
              <w:ind w:left="207" w:right="13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40276C"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024D5E">
              <w:rPr>
                <w:rFonts w:ascii="Times New Roman" w:eastAsia="Times New Roman" w:hAnsi="Times New Roman" w:cs="Times New Roman"/>
                <w:sz w:val="24"/>
                <w:szCs w:val="24"/>
                <w:lang w:val="uk-UA" w:eastAsia="ru-RU"/>
              </w:rPr>
              <w:t xml:space="preserve">9 450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3E38D8" w:rsidRPr="0024091C" w:rsidRDefault="003E38D8" w:rsidP="003E38D8">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1C3886" w:rsidRPr="002F41BA" w:rsidRDefault="003E38D8" w:rsidP="003E38D8">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08115E">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2F41BA">
            <w:pPr>
              <w:pStyle w:val="a8"/>
              <w:ind w:left="142" w:right="63"/>
              <w:jc w:val="both"/>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2F41BA">
            <w:pPr>
              <w:pStyle w:val="a8"/>
              <w:ind w:left="142" w:right="63"/>
              <w:jc w:val="both"/>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3E38D8" w:rsidRDefault="003E38D8" w:rsidP="0059573E">
            <w:pPr>
              <w:spacing w:after="0" w:line="240" w:lineRule="auto"/>
              <w:ind w:left="176" w:right="132"/>
              <w:jc w:val="both"/>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uk-UA" w:eastAsia="ru-RU"/>
              </w:rPr>
              <w:t xml:space="preserve">20 жовтня 2021 року </w:t>
            </w:r>
            <w:r w:rsidR="0059573E" w:rsidRPr="003E38D8">
              <w:rPr>
                <w:rFonts w:ascii="Times New Roman" w:eastAsia="Times New Roman" w:hAnsi="Times New Roman" w:cs="Times New Roman"/>
                <w:sz w:val="24"/>
                <w:szCs w:val="24"/>
                <w:lang w:val="uk-UA" w:eastAsia="ru-RU"/>
              </w:rPr>
              <w:t>о 10</w:t>
            </w:r>
            <w:r w:rsidR="003826EB" w:rsidRPr="003E38D8">
              <w:rPr>
                <w:rFonts w:ascii="Times New Roman" w:eastAsia="Times New Roman" w:hAnsi="Times New Roman" w:cs="Times New Roman"/>
                <w:sz w:val="24"/>
                <w:szCs w:val="24"/>
                <w:lang w:val="uk-UA" w:eastAsia="ru-RU"/>
              </w:rPr>
              <w:t> </w:t>
            </w:r>
            <w:r w:rsidR="00DF545F" w:rsidRPr="003E38D8">
              <w:rPr>
                <w:rFonts w:ascii="Times New Roman" w:eastAsia="Times New Roman" w:hAnsi="Times New Roman" w:cs="Times New Roman"/>
                <w:sz w:val="24"/>
                <w:szCs w:val="24"/>
                <w:lang w:val="uk-UA" w:eastAsia="ru-RU"/>
              </w:rPr>
              <w:t>год.</w:t>
            </w:r>
            <w:r w:rsidR="003826EB" w:rsidRPr="003E38D8">
              <w:rPr>
                <w:rFonts w:ascii="Times New Roman" w:eastAsia="Times New Roman" w:hAnsi="Times New Roman" w:cs="Times New Roman"/>
                <w:sz w:val="24"/>
                <w:szCs w:val="24"/>
                <w:lang w:val="uk-UA" w:eastAsia="ru-RU"/>
              </w:rPr>
              <w:t> </w:t>
            </w:r>
            <w:r w:rsidR="0059573E" w:rsidRPr="003E38D8">
              <w:rPr>
                <w:rFonts w:ascii="Times New Roman" w:eastAsia="Times New Roman" w:hAnsi="Times New Roman" w:cs="Times New Roman"/>
                <w:sz w:val="24"/>
                <w:szCs w:val="24"/>
                <w:lang w:val="uk-UA" w:eastAsia="ru-RU"/>
              </w:rPr>
              <w:t xml:space="preserve">00 </w:t>
            </w:r>
            <w:r w:rsidR="00DF545F" w:rsidRPr="003E38D8">
              <w:rPr>
                <w:rFonts w:ascii="Times New Roman" w:eastAsia="Times New Roman" w:hAnsi="Times New Roman" w:cs="Times New Roman"/>
                <w:sz w:val="24"/>
                <w:szCs w:val="24"/>
                <w:lang w:val="uk-UA" w:eastAsia="ru-RU"/>
              </w:rPr>
              <w:t>хв.</w:t>
            </w:r>
            <w:r w:rsidR="0059573E" w:rsidRPr="003E38D8">
              <w:rPr>
                <w:rFonts w:ascii="Times New Roman" w:eastAsia="Times New Roman" w:hAnsi="Times New Roman" w:cs="Times New Roman"/>
                <w:sz w:val="24"/>
                <w:szCs w:val="24"/>
                <w:lang w:val="uk-UA" w:eastAsia="ru-RU"/>
              </w:rPr>
              <w:t xml:space="preserve"> </w:t>
            </w:r>
            <w:r w:rsidR="003826EB" w:rsidRPr="003E38D8">
              <w:rPr>
                <w:rFonts w:ascii="Times New Roman" w:eastAsia="Times New Roman" w:hAnsi="Times New Roman" w:cs="Times New Roman"/>
                <w:sz w:val="24"/>
                <w:szCs w:val="24"/>
                <w:lang w:val="uk-UA" w:eastAsia="ru-RU"/>
              </w:rPr>
              <w:t>–</w:t>
            </w:r>
            <w:r w:rsidR="0059573E" w:rsidRPr="003E38D8">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3E38D8"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3E38D8" w:rsidRDefault="00A17064" w:rsidP="0059573E">
            <w:pPr>
              <w:spacing w:after="0" w:line="240" w:lineRule="auto"/>
              <w:ind w:left="176" w:right="132"/>
              <w:jc w:val="both"/>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uk-UA" w:eastAsia="ru-RU"/>
              </w:rPr>
              <w:t xml:space="preserve">Співбесіда проводиться </w:t>
            </w:r>
            <w:r w:rsidR="0059573E" w:rsidRPr="003E38D8">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3E38D8">
              <w:rPr>
                <w:rFonts w:ascii="Times New Roman" w:eastAsia="Times New Roman" w:hAnsi="Times New Roman" w:cs="Times New Roman"/>
                <w:sz w:val="24"/>
                <w:szCs w:val="24"/>
                <w:lang w:val="uk-UA" w:eastAsia="ru-RU"/>
              </w:rPr>
              <w:t>Webex</w:t>
            </w:r>
            <w:proofErr w:type="spellEnd"/>
          </w:p>
        </w:tc>
      </w:tr>
      <w:tr w:rsidR="001C3886" w:rsidRPr="0040276C"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E86561" w:rsidRDefault="001C3886" w:rsidP="007B0B4F">
            <w:pPr>
              <w:spacing w:before="150" w:after="150" w:line="240" w:lineRule="auto"/>
              <w:ind w:left="142" w:right="63"/>
              <w:jc w:val="both"/>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3E38D8" w:rsidRDefault="003E38D8" w:rsidP="001C3886">
            <w:pPr>
              <w:spacing w:after="0" w:line="240" w:lineRule="auto"/>
              <w:ind w:left="176" w:right="132"/>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uk-UA" w:eastAsia="ru-RU"/>
              </w:rPr>
              <w:t>Бабич Євгенія Іванівна</w:t>
            </w:r>
            <w:r w:rsidR="003826EB" w:rsidRPr="003E38D8">
              <w:rPr>
                <w:rFonts w:ascii="Times New Roman" w:eastAsia="Times New Roman" w:hAnsi="Times New Roman" w:cs="Times New Roman"/>
                <w:sz w:val="24"/>
                <w:szCs w:val="24"/>
                <w:lang w:val="uk-UA" w:eastAsia="ru-RU"/>
              </w:rPr>
              <w:t>;</w:t>
            </w:r>
          </w:p>
          <w:p w:rsidR="006A3678" w:rsidRPr="003E38D8"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uk-UA" w:eastAsia="ru-RU"/>
              </w:rPr>
              <w:t>Хоменко Тетяна Олександрівна</w:t>
            </w:r>
            <w:r w:rsidR="003826EB" w:rsidRPr="003E38D8">
              <w:rPr>
                <w:rFonts w:ascii="Times New Roman" w:eastAsia="Times New Roman" w:hAnsi="Times New Roman" w:cs="Times New Roman"/>
                <w:sz w:val="24"/>
                <w:szCs w:val="24"/>
                <w:lang w:val="uk-UA" w:eastAsia="ru-RU"/>
              </w:rPr>
              <w:t>;</w:t>
            </w:r>
          </w:p>
          <w:p w:rsidR="001C3886" w:rsidRPr="003E38D8"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uk-UA" w:eastAsia="ru-RU"/>
              </w:rPr>
              <w:t>(044) 204-79-19</w:t>
            </w:r>
            <w:r w:rsidR="003826EB" w:rsidRPr="003E38D8">
              <w:rPr>
                <w:rFonts w:ascii="Times New Roman" w:eastAsia="Times New Roman" w:hAnsi="Times New Roman" w:cs="Times New Roman"/>
                <w:sz w:val="24"/>
                <w:szCs w:val="24"/>
                <w:lang w:val="uk-UA" w:eastAsia="ru-RU"/>
              </w:rPr>
              <w:t>;</w:t>
            </w:r>
          </w:p>
          <w:p w:rsidR="001C3886" w:rsidRPr="003E38D8"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3E38D8">
              <w:rPr>
                <w:rFonts w:ascii="Times New Roman" w:eastAsia="Times New Roman" w:hAnsi="Times New Roman" w:cs="Times New Roman"/>
                <w:sz w:val="24"/>
                <w:szCs w:val="24"/>
                <w:lang w:val="en-US" w:eastAsia="ru-RU"/>
              </w:rPr>
              <w:t>k</w:t>
            </w:r>
            <w:r w:rsidRPr="003E38D8">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F93E2C">
            <w:pPr>
              <w:spacing w:after="0" w:line="240" w:lineRule="auto"/>
              <w:ind w:firstLine="286"/>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w:t>
            </w:r>
            <w:r w:rsidRPr="009709FC">
              <w:rPr>
                <w:rFonts w:ascii="Times New Roman" w:eastAsia="Times New Roman" w:hAnsi="Times New Roman" w:cs="Times New Roman"/>
                <w:sz w:val="24"/>
                <w:szCs w:val="24"/>
                <w:lang w:val="uk-UA" w:eastAsia="ru-RU"/>
              </w:rPr>
              <w:lastRenderedPageBreak/>
              <w:t>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066C94" w:rsidRPr="009709FC" w:rsidRDefault="00066C94" w:rsidP="00066C9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C91878" w:rsidRDefault="00066C94" w:rsidP="00066C94">
            <w:pPr>
              <w:pStyle w:val="a5"/>
              <w:spacing w:after="0" w:line="240" w:lineRule="auto"/>
              <w:ind w:left="179" w:right="132"/>
              <w:jc w:val="both"/>
              <w:rPr>
                <w:rFonts w:ascii="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BF66A2" w:rsidRDefault="00943840" w:rsidP="00115BD9">
      <w:pPr>
        <w:spacing w:after="0"/>
        <w:rPr>
          <w:rFonts w:ascii="Times New Roman" w:hAnsi="Times New Roman"/>
          <w:bCs/>
          <w:sz w:val="28"/>
          <w:szCs w:val="28"/>
        </w:rPr>
      </w:pPr>
      <w:r w:rsidRPr="00BF66A2">
        <w:rPr>
          <w:rFonts w:ascii="Times New Roman" w:hAnsi="Times New Roman"/>
          <w:bCs/>
          <w:sz w:val="28"/>
          <w:szCs w:val="28"/>
          <w:lang w:val="uk-UA"/>
        </w:rPr>
        <w:t>Н</w:t>
      </w:r>
      <w:proofErr w:type="spellStart"/>
      <w:r w:rsidR="00BF66A2" w:rsidRPr="00BF66A2">
        <w:rPr>
          <w:rFonts w:ascii="Times New Roman" w:hAnsi="Times New Roman"/>
          <w:bCs/>
          <w:sz w:val="28"/>
          <w:szCs w:val="28"/>
        </w:rPr>
        <w:t>ачальник</w:t>
      </w:r>
      <w:proofErr w:type="spellEnd"/>
      <w:r w:rsidRPr="00BF66A2">
        <w:rPr>
          <w:rFonts w:ascii="Times New Roman" w:hAnsi="Times New Roman"/>
          <w:bCs/>
          <w:sz w:val="28"/>
          <w:szCs w:val="28"/>
        </w:rPr>
        <w:t xml:space="preserve"> Управління </w:t>
      </w:r>
    </w:p>
    <w:p w:rsidR="009556E0" w:rsidRPr="00BF66A2" w:rsidRDefault="00115BD9" w:rsidP="00115BD9">
      <w:pPr>
        <w:spacing w:after="0"/>
        <w:rPr>
          <w:rFonts w:ascii="Times New Roman" w:hAnsi="Times New Roman"/>
          <w:bCs/>
          <w:sz w:val="28"/>
          <w:szCs w:val="28"/>
          <w:lang w:val="uk-UA"/>
        </w:rPr>
      </w:pPr>
      <w:r w:rsidRPr="00BF66A2">
        <w:rPr>
          <w:rFonts w:ascii="Times New Roman" w:hAnsi="Times New Roman"/>
          <w:bCs/>
          <w:sz w:val="28"/>
          <w:szCs w:val="28"/>
        </w:rPr>
        <w:t xml:space="preserve">по </w:t>
      </w:r>
      <w:proofErr w:type="spellStart"/>
      <w:r w:rsidRPr="00BF66A2">
        <w:rPr>
          <w:rFonts w:ascii="Times New Roman" w:hAnsi="Times New Roman"/>
          <w:bCs/>
          <w:sz w:val="28"/>
          <w:szCs w:val="28"/>
        </w:rPr>
        <w:t>роботі</w:t>
      </w:r>
      <w:proofErr w:type="spellEnd"/>
      <w:r w:rsidRPr="00BF66A2">
        <w:rPr>
          <w:rFonts w:ascii="Times New Roman" w:hAnsi="Times New Roman"/>
          <w:bCs/>
          <w:sz w:val="28"/>
          <w:szCs w:val="28"/>
        </w:rPr>
        <w:t xml:space="preserve"> з персоналом</w:t>
      </w:r>
      <w:r w:rsidRPr="00BF66A2">
        <w:rPr>
          <w:rFonts w:ascii="Times New Roman" w:hAnsi="Times New Roman"/>
          <w:bCs/>
          <w:sz w:val="28"/>
          <w:szCs w:val="28"/>
        </w:rPr>
        <w:tab/>
      </w:r>
      <w:r w:rsidRPr="00BF66A2">
        <w:rPr>
          <w:rFonts w:ascii="Times New Roman" w:hAnsi="Times New Roman"/>
          <w:bCs/>
          <w:sz w:val="28"/>
          <w:szCs w:val="28"/>
        </w:rPr>
        <w:tab/>
      </w:r>
      <w:r w:rsidRPr="00BF66A2">
        <w:rPr>
          <w:rFonts w:ascii="Times New Roman" w:hAnsi="Times New Roman"/>
          <w:bCs/>
          <w:sz w:val="28"/>
          <w:szCs w:val="28"/>
        </w:rPr>
        <w:tab/>
        <w:t xml:space="preserve">      </w:t>
      </w:r>
      <w:r w:rsidRPr="00BF66A2">
        <w:rPr>
          <w:rFonts w:ascii="Times New Roman" w:hAnsi="Times New Roman"/>
          <w:bCs/>
          <w:sz w:val="28"/>
          <w:szCs w:val="28"/>
          <w:lang w:val="uk-UA"/>
        </w:rPr>
        <w:t xml:space="preserve">       </w:t>
      </w:r>
      <w:r w:rsidR="00FC35F1" w:rsidRPr="00BF66A2">
        <w:rPr>
          <w:rFonts w:ascii="Times New Roman" w:hAnsi="Times New Roman"/>
          <w:bCs/>
          <w:sz w:val="28"/>
          <w:szCs w:val="28"/>
          <w:lang w:val="uk-UA"/>
        </w:rPr>
        <w:t xml:space="preserve">                           </w:t>
      </w:r>
      <w:r w:rsidRPr="00BF66A2">
        <w:rPr>
          <w:rFonts w:ascii="Times New Roman" w:hAnsi="Times New Roman"/>
          <w:bCs/>
          <w:sz w:val="28"/>
          <w:szCs w:val="28"/>
          <w:lang w:val="uk-UA"/>
        </w:rPr>
        <w:t xml:space="preserve">  </w:t>
      </w:r>
      <w:r w:rsidRPr="00BF66A2">
        <w:rPr>
          <w:rFonts w:ascii="Times New Roman" w:hAnsi="Times New Roman"/>
          <w:bCs/>
          <w:sz w:val="28"/>
          <w:szCs w:val="28"/>
        </w:rPr>
        <w:t xml:space="preserve">    </w:t>
      </w:r>
      <w:r w:rsidR="00943840" w:rsidRPr="00BF66A2">
        <w:rPr>
          <w:rFonts w:ascii="Times New Roman" w:hAnsi="Times New Roman"/>
          <w:bCs/>
          <w:sz w:val="28"/>
          <w:szCs w:val="28"/>
          <w:lang w:val="uk-UA"/>
        </w:rPr>
        <w:t>Тетяна КОЗАК</w:t>
      </w:r>
    </w:p>
    <w:sectPr w:rsidR="009556E0" w:rsidRPr="00BF66A2" w:rsidSect="009A2EFD">
      <w:headerReference w:type="default" r:id="rId10"/>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FD" w:rsidRDefault="009A2EFD" w:rsidP="009A2EFD">
      <w:pPr>
        <w:spacing w:after="0" w:line="240" w:lineRule="auto"/>
      </w:pPr>
      <w:r>
        <w:separator/>
      </w:r>
    </w:p>
  </w:endnote>
  <w:endnote w:type="continuationSeparator" w:id="0">
    <w:p w:rsidR="009A2EFD" w:rsidRDefault="009A2EFD" w:rsidP="009A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FD" w:rsidRDefault="009A2EFD" w:rsidP="009A2EFD">
      <w:pPr>
        <w:spacing w:after="0" w:line="240" w:lineRule="auto"/>
      </w:pPr>
      <w:r>
        <w:separator/>
      </w:r>
    </w:p>
  </w:footnote>
  <w:footnote w:type="continuationSeparator" w:id="0">
    <w:p w:rsidR="009A2EFD" w:rsidRDefault="009A2EFD" w:rsidP="009A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26371"/>
      <w:docPartObj>
        <w:docPartGallery w:val="Page Numbers (Top of Page)"/>
        <w:docPartUnique/>
      </w:docPartObj>
    </w:sdtPr>
    <w:sdtEndPr/>
    <w:sdtContent>
      <w:p w:rsidR="009A2EFD" w:rsidRDefault="009A2EFD">
        <w:pPr>
          <w:pStyle w:val="a9"/>
          <w:jc w:val="center"/>
        </w:pPr>
        <w:r w:rsidRPr="009A2EFD">
          <w:rPr>
            <w:rFonts w:ascii="Times New Roman" w:hAnsi="Times New Roman" w:cs="Times New Roman"/>
            <w:sz w:val="24"/>
          </w:rPr>
          <w:fldChar w:fldCharType="begin"/>
        </w:r>
        <w:r w:rsidRPr="009A2EFD">
          <w:rPr>
            <w:rFonts w:ascii="Times New Roman" w:hAnsi="Times New Roman" w:cs="Times New Roman"/>
            <w:sz w:val="24"/>
          </w:rPr>
          <w:instrText>PAGE   \* MERGEFORMAT</w:instrText>
        </w:r>
        <w:r w:rsidRPr="009A2EFD">
          <w:rPr>
            <w:rFonts w:ascii="Times New Roman" w:hAnsi="Times New Roman" w:cs="Times New Roman"/>
            <w:sz w:val="24"/>
          </w:rPr>
          <w:fldChar w:fldCharType="separate"/>
        </w:r>
        <w:r w:rsidR="0040276C" w:rsidRPr="0040276C">
          <w:rPr>
            <w:rFonts w:ascii="Times New Roman" w:hAnsi="Times New Roman" w:cs="Times New Roman"/>
            <w:noProof/>
            <w:sz w:val="24"/>
            <w:lang w:val="uk-UA"/>
          </w:rPr>
          <w:t>6</w:t>
        </w:r>
        <w:r w:rsidRPr="009A2EFD">
          <w:rPr>
            <w:rFonts w:ascii="Times New Roman" w:hAnsi="Times New Roman" w:cs="Times New Roman"/>
            <w:sz w:val="24"/>
          </w:rPr>
          <w:fldChar w:fldCharType="end"/>
        </w:r>
      </w:p>
    </w:sdtContent>
  </w:sdt>
  <w:p w:rsidR="009A2EFD" w:rsidRDefault="009A2EF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24D5E"/>
    <w:rsid w:val="000364F6"/>
    <w:rsid w:val="00056C6B"/>
    <w:rsid w:val="00062F88"/>
    <w:rsid w:val="00066C94"/>
    <w:rsid w:val="000725A1"/>
    <w:rsid w:val="00072AE7"/>
    <w:rsid w:val="00074855"/>
    <w:rsid w:val="00077F91"/>
    <w:rsid w:val="0008115E"/>
    <w:rsid w:val="00090089"/>
    <w:rsid w:val="000B1B42"/>
    <w:rsid w:val="000B5393"/>
    <w:rsid w:val="000C01DE"/>
    <w:rsid w:val="000F520E"/>
    <w:rsid w:val="00103FFD"/>
    <w:rsid w:val="00104071"/>
    <w:rsid w:val="00115BD9"/>
    <w:rsid w:val="0011743F"/>
    <w:rsid w:val="00117B40"/>
    <w:rsid w:val="00122478"/>
    <w:rsid w:val="001714A9"/>
    <w:rsid w:val="00185B95"/>
    <w:rsid w:val="00197E43"/>
    <w:rsid w:val="001C3886"/>
    <w:rsid w:val="001C6D71"/>
    <w:rsid w:val="00202AC3"/>
    <w:rsid w:val="00236652"/>
    <w:rsid w:val="002511D2"/>
    <w:rsid w:val="0026089C"/>
    <w:rsid w:val="00271887"/>
    <w:rsid w:val="002805BC"/>
    <w:rsid w:val="002A4043"/>
    <w:rsid w:val="002B07CF"/>
    <w:rsid w:val="002B6D79"/>
    <w:rsid w:val="002F41BA"/>
    <w:rsid w:val="00321076"/>
    <w:rsid w:val="00322B5E"/>
    <w:rsid w:val="003377BD"/>
    <w:rsid w:val="0034320A"/>
    <w:rsid w:val="00346727"/>
    <w:rsid w:val="00347A4E"/>
    <w:rsid w:val="00351003"/>
    <w:rsid w:val="00361521"/>
    <w:rsid w:val="0037371A"/>
    <w:rsid w:val="00373D31"/>
    <w:rsid w:val="003826EB"/>
    <w:rsid w:val="003949FB"/>
    <w:rsid w:val="003A4330"/>
    <w:rsid w:val="003A5896"/>
    <w:rsid w:val="003D2D16"/>
    <w:rsid w:val="003E2C5A"/>
    <w:rsid w:val="003E38D8"/>
    <w:rsid w:val="003E695F"/>
    <w:rsid w:val="003F1013"/>
    <w:rsid w:val="0040276C"/>
    <w:rsid w:val="00424CAC"/>
    <w:rsid w:val="00441E9A"/>
    <w:rsid w:val="00460474"/>
    <w:rsid w:val="00494148"/>
    <w:rsid w:val="004A5DA1"/>
    <w:rsid w:val="004A686B"/>
    <w:rsid w:val="004B64AF"/>
    <w:rsid w:val="004D47B2"/>
    <w:rsid w:val="004D631A"/>
    <w:rsid w:val="004D66F7"/>
    <w:rsid w:val="004F38EA"/>
    <w:rsid w:val="004F45AD"/>
    <w:rsid w:val="00533065"/>
    <w:rsid w:val="00535CDE"/>
    <w:rsid w:val="0054188E"/>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1070B"/>
    <w:rsid w:val="007218D9"/>
    <w:rsid w:val="0073119A"/>
    <w:rsid w:val="00794E6E"/>
    <w:rsid w:val="007B0B4F"/>
    <w:rsid w:val="007C25B9"/>
    <w:rsid w:val="007D7146"/>
    <w:rsid w:val="007E5B2E"/>
    <w:rsid w:val="007F1E88"/>
    <w:rsid w:val="008002DA"/>
    <w:rsid w:val="0085546D"/>
    <w:rsid w:val="00856FC7"/>
    <w:rsid w:val="00866A61"/>
    <w:rsid w:val="00873359"/>
    <w:rsid w:val="00874497"/>
    <w:rsid w:val="008A35B2"/>
    <w:rsid w:val="008B4B3F"/>
    <w:rsid w:val="008C32CF"/>
    <w:rsid w:val="008C7DE6"/>
    <w:rsid w:val="008E3A30"/>
    <w:rsid w:val="00900966"/>
    <w:rsid w:val="009069E5"/>
    <w:rsid w:val="0091247B"/>
    <w:rsid w:val="009311C9"/>
    <w:rsid w:val="00943840"/>
    <w:rsid w:val="0094711D"/>
    <w:rsid w:val="009556E0"/>
    <w:rsid w:val="0097380E"/>
    <w:rsid w:val="009A0BCA"/>
    <w:rsid w:val="009A2EFD"/>
    <w:rsid w:val="009C1584"/>
    <w:rsid w:val="009C48AC"/>
    <w:rsid w:val="009C6440"/>
    <w:rsid w:val="009D7397"/>
    <w:rsid w:val="009E035F"/>
    <w:rsid w:val="009F5E13"/>
    <w:rsid w:val="009F6D57"/>
    <w:rsid w:val="00A07C2B"/>
    <w:rsid w:val="00A13B7B"/>
    <w:rsid w:val="00A17064"/>
    <w:rsid w:val="00A475DE"/>
    <w:rsid w:val="00A71301"/>
    <w:rsid w:val="00A9327E"/>
    <w:rsid w:val="00A96562"/>
    <w:rsid w:val="00AA2F69"/>
    <w:rsid w:val="00AA35D8"/>
    <w:rsid w:val="00AA3AF1"/>
    <w:rsid w:val="00AD19B1"/>
    <w:rsid w:val="00AD56A8"/>
    <w:rsid w:val="00AE52F4"/>
    <w:rsid w:val="00AE71B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33DF"/>
    <w:rsid w:val="00D45230"/>
    <w:rsid w:val="00D45CFC"/>
    <w:rsid w:val="00D46C8D"/>
    <w:rsid w:val="00D56160"/>
    <w:rsid w:val="00D63FC8"/>
    <w:rsid w:val="00D9180F"/>
    <w:rsid w:val="00D9270D"/>
    <w:rsid w:val="00DA5A01"/>
    <w:rsid w:val="00DA6A9F"/>
    <w:rsid w:val="00DB1CEF"/>
    <w:rsid w:val="00DB77DE"/>
    <w:rsid w:val="00DC0141"/>
    <w:rsid w:val="00DC4714"/>
    <w:rsid w:val="00DC7852"/>
    <w:rsid w:val="00DD180A"/>
    <w:rsid w:val="00DD6E4A"/>
    <w:rsid w:val="00DE16F7"/>
    <w:rsid w:val="00DE5C5E"/>
    <w:rsid w:val="00DF545F"/>
    <w:rsid w:val="00E40CB4"/>
    <w:rsid w:val="00E6670E"/>
    <w:rsid w:val="00E71975"/>
    <w:rsid w:val="00E86561"/>
    <w:rsid w:val="00EB41D3"/>
    <w:rsid w:val="00ED29BA"/>
    <w:rsid w:val="00EE1964"/>
    <w:rsid w:val="00EE3967"/>
    <w:rsid w:val="00F0430A"/>
    <w:rsid w:val="00F3204C"/>
    <w:rsid w:val="00F32818"/>
    <w:rsid w:val="00F5341F"/>
    <w:rsid w:val="00F6300B"/>
    <w:rsid w:val="00F84BF3"/>
    <w:rsid w:val="00F85FEA"/>
    <w:rsid w:val="00F86951"/>
    <w:rsid w:val="00F91443"/>
    <w:rsid w:val="00F93C29"/>
    <w:rsid w:val="00F93E2C"/>
    <w:rsid w:val="00F96007"/>
    <w:rsid w:val="00FA21E3"/>
    <w:rsid w:val="00FA26D2"/>
    <w:rsid w:val="00FB0A07"/>
    <w:rsid w:val="00FC35F1"/>
    <w:rsid w:val="00FC6C7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D09B"/>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9A2EFD"/>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9A2EFD"/>
  </w:style>
  <w:style w:type="paragraph" w:styleId="ab">
    <w:name w:val="footer"/>
    <w:basedOn w:val="a"/>
    <w:link w:val="ac"/>
    <w:uiPriority w:val="99"/>
    <w:unhideWhenUsed/>
    <w:rsid w:val="009A2EFD"/>
    <w:pPr>
      <w:tabs>
        <w:tab w:val="center" w:pos="4819"/>
        <w:tab w:val="right" w:pos="9639"/>
      </w:tabs>
      <w:spacing w:after="0" w:line="240" w:lineRule="auto"/>
    </w:pPr>
  </w:style>
  <w:style w:type="character" w:customStyle="1" w:styleId="ac">
    <w:name w:val="Нижній колонтитул Знак"/>
    <w:basedOn w:val="a0"/>
    <w:link w:val="ab"/>
    <w:uiPriority w:val="99"/>
    <w:rsid w:val="009A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6</Pages>
  <Words>7339</Words>
  <Characters>4184</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231</cp:revision>
  <cp:lastPrinted>2021-03-22T09:52:00Z</cp:lastPrinted>
  <dcterms:created xsi:type="dcterms:W3CDTF">2021-03-22T11:00:00Z</dcterms:created>
  <dcterms:modified xsi:type="dcterms:W3CDTF">2021-10-11T11:57:00Z</dcterms:modified>
</cp:coreProperties>
</file>