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A5896" w:rsidRPr="00361521" w:rsidRDefault="00F93D48"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82185C" w:rsidRPr="00AD2A5D">
        <w:rPr>
          <w:rFonts w:eastAsiaTheme="minorHAnsi"/>
          <w:lang w:val="uk-UA" w:eastAsia="en-US"/>
        </w:rPr>
        <w:t xml:space="preserve"> </w:t>
      </w:r>
      <w:r w:rsidR="00E86561" w:rsidRPr="00AD2A5D">
        <w:rPr>
          <w:rFonts w:eastAsiaTheme="minorHAnsi"/>
          <w:lang w:val="uk-UA" w:eastAsia="en-US"/>
        </w:rPr>
        <w:t>жовтня 2021 року №</w:t>
      </w:r>
      <w:r>
        <w:rPr>
          <w:rFonts w:eastAsiaTheme="minorHAnsi"/>
          <w:lang w:val="uk-UA" w:eastAsia="en-US"/>
        </w:rPr>
        <w:t xml:space="preserve"> 222</w:t>
      </w:r>
      <w:bookmarkStart w:id="1" w:name="_GoBack"/>
      <w:bookmarkEnd w:id="1"/>
      <w:r w:rsidR="00E86561"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p>
    <w:p w:rsidR="00B15D37" w:rsidRPr="00361521"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3F1013">
        <w:rPr>
          <w:rFonts w:ascii="Times New Roman" w:eastAsia="Times New Roman" w:hAnsi="Times New Roman" w:cs="Times New Roman"/>
          <w:b/>
          <w:bCs/>
          <w:color w:val="333333"/>
          <w:sz w:val="24"/>
          <w:szCs w:val="24"/>
          <w:lang w:val="uk-UA" w:eastAsia="ru-RU"/>
        </w:rPr>
        <w:t>з</w:t>
      </w:r>
      <w:r w:rsidR="003F1013" w:rsidRPr="003F1013">
        <w:rPr>
          <w:rFonts w:ascii="Times New Roman" w:eastAsia="Times New Roman" w:hAnsi="Times New Roman" w:cs="Times New Roman"/>
          <w:b/>
          <w:bCs/>
          <w:color w:val="333333"/>
          <w:sz w:val="24"/>
          <w:szCs w:val="24"/>
          <w:lang w:val="uk-UA" w:eastAsia="ru-RU"/>
        </w:rPr>
        <w:t>аступник</w:t>
      </w:r>
      <w:r w:rsidR="003F1013">
        <w:rPr>
          <w:rFonts w:ascii="Times New Roman" w:eastAsia="Times New Roman" w:hAnsi="Times New Roman" w:cs="Times New Roman"/>
          <w:b/>
          <w:bCs/>
          <w:color w:val="333333"/>
          <w:sz w:val="24"/>
          <w:szCs w:val="24"/>
          <w:lang w:val="uk-UA" w:eastAsia="ru-RU"/>
        </w:rPr>
        <w:t>а</w:t>
      </w:r>
      <w:r w:rsidR="003F1013" w:rsidRPr="003F1013">
        <w:rPr>
          <w:rFonts w:ascii="Times New Roman" w:eastAsia="Times New Roman" w:hAnsi="Times New Roman" w:cs="Times New Roman"/>
          <w:b/>
          <w:bCs/>
          <w:color w:val="333333"/>
          <w:sz w:val="24"/>
          <w:szCs w:val="24"/>
          <w:lang w:val="uk-UA" w:eastAsia="ru-RU"/>
        </w:rPr>
        <w:t xml:space="preserve">  начальника Управління </w:t>
      </w:r>
      <w:proofErr w:type="spellStart"/>
      <w:r w:rsidR="00FF0BA6" w:rsidRPr="003F1013">
        <w:rPr>
          <w:rFonts w:ascii="Times New Roman" w:eastAsia="Times New Roman" w:hAnsi="Times New Roman" w:cs="Times New Roman"/>
          <w:b/>
          <w:bCs/>
          <w:color w:val="333333"/>
          <w:sz w:val="24"/>
          <w:szCs w:val="24"/>
          <w:lang w:val="uk-UA" w:eastAsia="ru-RU"/>
        </w:rPr>
        <w:t>Держенергонагляду</w:t>
      </w:r>
      <w:proofErr w:type="spellEnd"/>
      <w:r w:rsidR="00FF0BA6" w:rsidRPr="003F1013">
        <w:rPr>
          <w:rFonts w:ascii="Times New Roman" w:eastAsia="Times New Roman" w:hAnsi="Times New Roman" w:cs="Times New Roman"/>
          <w:b/>
          <w:bCs/>
          <w:color w:val="333333"/>
          <w:sz w:val="24"/>
          <w:szCs w:val="24"/>
          <w:lang w:val="uk-UA" w:eastAsia="ru-RU"/>
        </w:rPr>
        <w:t xml:space="preserve">  у Луганській області </w:t>
      </w:r>
      <w:r w:rsidR="003F1013" w:rsidRPr="003F1013">
        <w:rPr>
          <w:rFonts w:ascii="Times New Roman" w:eastAsia="Times New Roman" w:hAnsi="Times New Roman" w:cs="Times New Roman"/>
          <w:b/>
          <w:bCs/>
          <w:color w:val="333333"/>
          <w:sz w:val="24"/>
          <w:szCs w:val="24"/>
          <w:lang w:val="uk-UA" w:eastAsia="ru-RU"/>
        </w:rPr>
        <w:t>– начальник</w:t>
      </w:r>
      <w:r w:rsidR="003F1013">
        <w:rPr>
          <w:rFonts w:ascii="Times New Roman" w:eastAsia="Times New Roman" w:hAnsi="Times New Roman" w:cs="Times New Roman"/>
          <w:b/>
          <w:bCs/>
          <w:color w:val="333333"/>
          <w:sz w:val="24"/>
          <w:szCs w:val="24"/>
          <w:lang w:val="uk-UA" w:eastAsia="ru-RU"/>
        </w:rPr>
        <w:t>а</w:t>
      </w:r>
      <w:r w:rsidR="003F1013" w:rsidRPr="003F1013">
        <w:rPr>
          <w:rFonts w:ascii="Times New Roman" w:eastAsia="Times New Roman" w:hAnsi="Times New Roman" w:cs="Times New Roman"/>
          <w:b/>
          <w:bCs/>
          <w:color w:val="333333"/>
          <w:sz w:val="24"/>
          <w:szCs w:val="24"/>
          <w:lang w:val="uk-UA" w:eastAsia="ru-RU"/>
        </w:rPr>
        <w:t xml:space="preserve"> відділу </w:t>
      </w:r>
      <w:r w:rsidR="003F1013">
        <w:rPr>
          <w:rFonts w:ascii="Times New Roman" w:eastAsia="Times New Roman" w:hAnsi="Times New Roman" w:cs="Times New Roman"/>
          <w:b/>
          <w:bCs/>
          <w:color w:val="333333"/>
          <w:sz w:val="24"/>
          <w:szCs w:val="24"/>
          <w:lang w:val="uk-UA" w:eastAsia="ru-RU"/>
        </w:rPr>
        <w:t>енергетичного нагляду – головного державного</w:t>
      </w:r>
      <w:r w:rsidR="003F1013" w:rsidRPr="003F1013">
        <w:rPr>
          <w:rFonts w:ascii="Times New Roman" w:eastAsia="Times New Roman" w:hAnsi="Times New Roman" w:cs="Times New Roman"/>
          <w:b/>
          <w:bCs/>
          <w:color w:val="333333"/>
          <w:sz w:val="24"/>
          <w:szCs w:val="24"/>
          <w:lang w:val="uk-UA" w:eastAsia="ru-RU"/>
        </w:rPr>
        <w:t xml:space="preserve"> інспектор</w:t>
      </w:r>
      <w:r w:rsidR="003F1013">
        <w:rPr>
          <w:rFonts w:ascii="Times New Roman" w:eastAsia="Times New Roman" w:hAnsi="Times New Roman" w:cs="Times New Roman"/>
          <w:b/>
          <w:bCs/>
          <w:color w:val="333333"/>
          <w:sz w:val="24"/>
          <w:szCs w:val="24"/>
          <w:lang w:val="uk-UA" w:eastAsia="ru-RU"/>
        </w:rPr>
        <w:t>а</w:t>
      </w:r>
      <w:r w:rsidR="003F1013" w:rsidRPr="003F1013">
        <w:rPr>
          <w:rFonts w:ascii="Times New Roman" w:eastAsia="Times New Roman" w:hAnsi="Times New Roman" w:cs="Times New Roman"/>
          <w:b/>
          <w:bCs/>
          <w:color w:val="333333"/>
          <w:sz w:val="24"/>
          <w:szCs w:val="24"/>
          <w:lang w:val="uk-UA" w:eastAsia="ru-RU"/>
        </w:rPr>
        <w:t xml:space="preserve"> з енергетичного нагляду у Луганській області </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656D3A" w:rsidRPr="00206C7C" w:rsidRDefault="00656D3A" w:rsidP="00656D3A">
            <w:pPr>
              <w:pStyle w:val="a5"/>
              <w:numPr>
                <w:ilvl w:val="0"/>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206C7C">
              <w:rPr>
                <w:rFonts w:ascii="Times New Roman" w:eastAsia="Times New Roman" w:hAnsi="Times New Roman" w:cs="Times New Roman"/>
                <w:sz w:val="24"/>
                <w:szCs w:val="24"/>
                <w:lang w:val="uk-UA" w:eastAsia="ru-RU"/>
              </w:rPr>
              <w:t>категорійності</w:t>
            </w:r>
            <w:proofErr w:type="spellEnd"/>
            <w:r w:rsidRPr="00206C7C">
              <w:rPr>
                <w:rFonts w:ascii="Times New Roman" w:eastAsia="Times New Roman" w:hAnsi="Times New Roman" w:cs="Times New Roman"/>
                <w:sz w:val="24"/>
                <w:szCs w:val="24"/>
                <w:lang w:val="uk-UA" w:eastAsia="ru-RU"/>
              </w:rPr>
              <w:t xml:space="preserve"> споживачів та їх струмоприймачів; </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організацією та періодичністю проведення спеціал</w:t>
            </w:r>
            <w:r>
              <w:rPr>
                <w:rFonts w:ascii="Times New Roman" w:eastAsia="Times New Roman" w:hAnsi="Times New Roman" w:cs="Times New Roman"/>
                <w:sz w:val="24"/>
                <w:szCs w:val="24"/>
                <w:lang w:val="uk-UA" w:eastAsia="ru-RU"/>
              </w:rPr>
              <w:t>ьної підготовки працівників.</w:t>
            </w:r>
            <w:r w:rsidRPr="00206C7C">
              <w:rPr>
                <w:rFonts w:ascii="Times New Roman" w:eastAsia="Times New Roman" w:hAnsi="Times New Roman" w:cs="Times New Roman"/>
                <w:sz w:val="24"/>
                <w:szCs w:val="24"/>
                <w:lang w:val="uk-UA" w:eastAsia="ru-RU"/>
              </w:rPr>
              <w:t xml:space="preserve"> </w:t>
            </w:r>
          </w:p>
          <w:p w:rsidR="00656D3A" w:rsidRPr="00206C7C" w:rsidRDefault="00656D3A" w:rsidP="00656D3A">
            <w:pPr>
              <w:pStyle w:val="a5"/>
              <w:numPr>
                <w:ilvl w:val="0"/>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Забезпечує </w:t>
            </w:r>
            <w:proofErr w:type="spellStart"/>
            <w:r w:rsidRPr="00206C7C">
              <w:rPr>
                <w:rFonts w:ascii="Times New Roman" w:eastAsia="Times New Roman" w:hAnsi="Times New Roman" w:cs="Times New Roman"/>
                <w:sz w:val="24"/>
                <w:szCs w:val="24"/>
                <w:lang w:val="uk-UA" w:eastAsia="ru-RU"/>
              </w:rPr>
              <w:t>оперативно</w:t>
            </w:r>
            <w:proofErr w:type="spellEnd"/>
            <w:r w:rsidRPr="00206C7C">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w:t>
            </w:r>
            <w:r>
              <w:rPr>
                <w:rFonts w:ascii="Times New Roman" w:eastAsia="Times New Roman" w:hAnsi="Times New Roman" w:cs="Times New Roman"/>
                <w:sz w:val="24"/>
                <w:szCs w:val="24"/>
                <w:lang w:val="uk-UA" w:eastAsia="ru-RU"/>
              </w:rPr>
              <w:t>мереж, участь у перевірці знань:</w:t>
            </w:r>
            <w:r w:rsidRPr="00206C7C">
              <w:rPr>
                <w:rFonts w:ascii="Times New Roman" w:eastAsia="Times New Roman" w:hAnsi="Times New Roman" w:cs="Times New Roman"/>
                <w:sz w:val="24"/>
                <w:szCs w:val="24"/>
                <w:lang w:val="uk-UA" w:eastAsia="ru-RU"/>
              </w:rPr>
              <w:t xml:space="preserve"> </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206C7C">
              <w:rPr>
                <w:rFonts w:ascii="Times New Roman" w:eastAsia="Times New Roman" w:hAnsi="Times New Roman" w:cs="Times New Roman"/>
                <w:sz w:val="24"/>
                <w:szCs w:val="24"/>
                <w:lang w:val="uk-UA" w:eastAsia="ru-RU"/>
              </w:rPr>
              <w:t>електропостачальником</w:t>
            </w:r>
            <w:proofErr w:type="spellEnd"/>
            <w:r w:rsidRPr="00206C7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забезпеченням належного технічного стану елементів обладнання системної протиаварійної автоматики, встановлених у учасників ринку (у тому числі </w:t>
            </w:r>
            <w:r w:rsidRPr="00206C7C">
              <w:rPr>
                <w:rFonts w:ascii="Times New Roman" w:eastAsia="Times New Roman" w:hAnsi="Times New Roman" w:cs="Times New Roman"/>
                <w:sz w:val="24"/>
                <w:szCs w:val="24"/>
                <w:lang w:val="uk-UA" w:eastAsia="ru-RU"/>
              </w:rPr>
              <w:lastRenderedPageBreak/>
              <w:t>споживачів).</w:t>
            </w:r>
          </w:p>
          <w:p w:rsidR="00656D3A" w:rsidRPr="00206C7C" w:rsidRDefault="00656D3A" w:rsidP="00656D3A">
            <w:pPr>
              <w:pStyle w:val="a5"/>
              <w:numPr>
                <w:ilvl w:val="0"/>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206C7C">
              <w:rPr>
                <w:rFonts w:ascii="Times New Roman" w:eastAsia="Times New Roman" w:hAnsi="Times New Roman" w:cs="Times New Roman"/>
                <w:sz w:val="24"/>
                <w:szCs w:val="24"/>
                <w:lang w:val="uk-UA" w:eastAsia="ru-RU"/>
              </w:rPr>
              <w:t xml:space="preserve"> у частині: </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206C7C">
              <w:rPr>
                <w:rFonts w:ascii="Times New Roman" w:eastAsia="Times New Roman" w:hAnsi="Times New Roman" w:cs="Times New Roman"/>
                <w:sz w:val="24"/>
                <w:szCs w:val="24"/>
                <w:lang w:val="uk-UA" w:eastAsia="ru-RU"/>
              </w:rPr>
              <w:t>тепловикористальних</w:t>
            </w:r>
            <w:proofErr w:type="spellEnd"/>
            <w:r w:rsidRPr="00206C7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206C7C">
              <w:rPr>
                <w:rFonts w:ascii="Times New Roman" w:eastAsia="Times New Roman" w:hAnsi="Times New Roman" w:cs="Times New Roman"/>
                <w:sz w:val="24"/>
                <w:szCs w:val="24"/>
                <w:lang w:val="uk-UA" w:eastAsia="ru-RU"/>
              </w:rPr>
              <w:t>тепловикористальних</w:t>
            </w:r>
            <w:proofErr w:type="spellEnd"/>
            <w:r w:rsidRPr="00206C7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656D3A" w:rsidRPr="00206C7C" w:rsidRDefault="00656D3A" w:rsidP="00656D3A">
            <w:pPr>
              <w:pStyle w:val="a5"/>
              <w:numPr>
                <w:ilvl w:val="0"/>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Організовує та забезпечує:</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ведення та оновлення переліку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дотримання особливого режиму відключення та/або обмеження електропостачання захищених споживачів;</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належний технічний стан елементів обладнання системної протиаварійної автоматики, встановлених у учасників ринку (у тому числі споживачів);</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проведення заходів державного енергетичного нагляду у суб’єктів господарської діяльності, об’єкти яких пов’язані єдиним технологічним процесом та територіально розташовані в різних адміністративно-територіальних одиницях країни, входять до складу спільних груп територіальних органів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та інших структурних підрозділів, що утворюються для проведення перевірок, проведення за дорученням керівника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заходів державного енергетичного нагляду, </w:t>
            </w:r>
            <w:proofErr w:type="spellStart"/>
            <w:r w:rsidRPr="00206C7C">
              <w:rPr>
                <w:rFonts w:ascii="Times New Roman" w:eastAsia="Times New Roman" w:hAnsi="Times New Roman" w:cs="Times New Roman"/>
                <w:sz w:val="24"/>
                <w:szCs w:val="24"/>
                <w:lang w:val="uk-UA" w:eastAsia="ru-RU"/>
              </w:rPr>
              <w:t>моніторингів</w:t>
            </w:r>
            <w:proofErr w:type="spellEnd"/>
            <w:r w:rsidRPr="00206C7C">
              <w:rPr>
                <w:rFonts w:ascii="Times New Roman" w:eastAsia="Times New Roman" w:hAnsi="Times New Roman" w:cs="Times New Roman"/>
                <w:sz w:val="24"/>
                <w:szCs w:val="24"/>
                <w:lang w:val="uk-UA" w:eastAsia="ru-RU"/>
              </w:rPr>
              <w:t xml:space="preserve"> тощо у суб’єктів господарської діяльності, які безпосередньо або об’єкти яких територіально розташовані в інших адміністративно-територіальних одиницях країни;</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надання інформації для аналізу Департаменту державного нагляду у галузі  електроенергетики та Департаменту державного нагляду у сфері теплопостачання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w:t>
            </w:r>
            <w:r w:rsidRPr="00206C7C">
              <w:rPr>
                <w:rFonts w:ascii="Times New Roman" w:eastAsia="Times New Roman" w:hAnsi="Times New Roman" w:cs="Times New Roman"/>
                <w:sz w:val="24"/>
                <w:szCs w:val="24"/>
                <w:lang w:val="uk-UA" w:eastAsia="ru-RU"/>
              </w:rPr>
              <w:lastRenderedPageBreak/>
              <w:t>окремими дорученнями;</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підготовку звітних матеріалів, визначених у дорученнях керівника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наказах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в терміни, визначені начальником Управління;</w:t>
            </w:r>
          </w:p>
          <w:p w:rsidR="00656D3A" w:rsidRPr="00206C7C" w:rsidRDefault="00656D3A" w:rsidP="00656D3A">
            <w:pPr>
              <w:pStyle w:val="a5"/>
              <w:numPr>
                <w:ilvl w:val="1"/>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участь у роботі комісій, робочих груп тощо, інших заходах, передбачених нормативно-правовими актами України, у тому числі міжвідомчого характеру.</w:t>
            </w:r>
          </w:p>
          <w:p w:rsidR="00656D3A" w:rsidRPr="00206C7C" w:rsidRDefault="00656D3A" w:rsidP="00656D3A">
            <w:pPr>
              <w:pStyle w:val="a5"/>
              <w:numPr>
                <w:ilvl w:val="0"/>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 xml:space="preserve">Здійснює перегляд разом із іншими структурними підрозділами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 xml:space="preserve">ідділу, з метою приведення їх у відповідність до законодавства, підготовку пропозицій керівнику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656D3A" w:rsidRPr="00206C7C" w:rsidRDefault="00656D3A" w:rsidP="00656D3A">
            <w:pPr>
              <w:pStyle w:val="a5"/>
              <w:numPr>
                <w:ilvl w:val="0"/>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Організовує, забе</w:t>
            </w:r>
            <w:r>
              <w:rPr>
                <w:rFonts w:ascii="Times New Roman" w:eastAsia="Times New Roman" w:hAnsi="Times New Roman" w:cs="Times New Roman"/>
                <w:sz w:val="24"/>
                <w:szCs w:val="24"/>
                <w:lang w:val="uk-UA" w:eastAsia="ru-RU"/>
              </w:rPr>
              <w:t xml:space="preserve">зпечує та контролює виконання в </w:t>
            </w:r>
            <w:r w:rsidRPr="00206C7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206C7C">
              <w:rPr>
                <w:rFonts w:ascii="Times New Roman" w:eastAsia="Times New Roman" w:hAnsi="Times New Roman" w:cs="Times New Roman"/>
                <w:sz w:val="24"/>
                <w:szCs w:val="24"/>
                <w:lang w:val="uk-UA" w:eastAsia="ru-RU"/>
              </w:rPr>
              <w:t>Держенергонагляду</w:t>
            </w:r>
            <w:proofErr w:type="spellEnd"/>
            <w:r w:rsidRPr="00206C7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ідділі.</w:t>
            </w:r>
          </w:p>
          <w:p w:rsidR="00656D3A" w:rsidRPr="00206C7C" w:rsidRDefault="00656D3A" w:rsidP="00656D3A">
            <w:pPr>
              <w:pStyle w:val="a5"/>
              <w:numPr>
                <w:ilvl w:val="0"/>
                <w:numId w:val="4"/>
              </w:numPr>
              <w:spacing w:after="0" w:line="240" w:lineRule="auto"/>
              <w:ind w:left="218" w:right="130" w:firstLine="283"/>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Забезпечує складання та актуальність переліку н</w:t>
            </w:r>
            <w:r>
              <w:rPr>
                <w:rFonts w:ascii="Times New Roman" w:eastAsia="Times New Roman" w:hAnsi="Times New Roman" w:cs="Times New Roman"/>
                <w:sz w:val="24"/>
                <w:szCs w:val="24"/>
                <w:lang w:val="uk-UA" w:eastAsia="ru-RU"/>
              </w:rPr>
              <w:t>ормативно-правових і нормативно</w:t>
            </w:r>
            <w:r w:rsidRPr="00206C7C">
              <w:rPr>
                <w:rFonts w:ascii="Times New Roman" w:eastAsia="Times New Roman" w:hAnsi="Times New Roman" w:cs="Times New Roman"/>
                <w:sz w:val="24"/>
                <w:szCs w:val="24"/>
                <w:lang w:val="uk-UA" w:eastAsia="ru-RU"/>
              </w:rPr>
              <w:t xml:space="preserve">-технічних актів, документів, якими керується в своїй роботі </w:t>
            </w:r>
            <w:r>
              <w:rPr>
                <w:rFonts w:ascii="Times New Roman" w:eastAsia="Times New Roman" w:hAnsi="Times New Roman" w:cs="Times New Roman"/>
                <w:sz w:val="24"/>
                <w:szCs w:val="24"/>
                <w:lang w:val="uk-UA" w:eastAsia="ru-RU"/>
              </w:rPr>
              <w:t>в</w:t>
            </w:r>
            <w:r w:rsidRPr="00206C7C">
              <w:rPr>
                <w:rFonts w:ascii="Times New Roman" w:eastAsia="Times New Roman" w:hAnsi="Times New Roman" w:cs="Times New Roman"/>
                <w:sz w:val="24"/>
                <w:szCs w:val="24"/>
                <w:lang w:val="uk-UA" w:eastAsia="ru-RU"/>
              </w:rPr>
              <w:t>ідділ, та перегляд на пр</w:t>
            </w:r>
            <w:r>
              <w:rPr>
                <w:rFonts w:ascii="Times New Roman" w:eastAsia="Times New Roman" w:hAnsi="Times New Roman" w:cs="Times New Roman"/>
                <w:sz w:val="24"/>
                <w:szCs w:val="24"/>
                <w:lang w:val="uk-UA" w:eastAsia="ru-RU"/>
              </w:rPr>
              <w:t>едмет внесення змін та доповнень</w:t>
            </w:r>
            <w:r w:rsidRPr="00206C7C">
              <w:rPr>
                <w:rFonts w:ascii="Times New Roman" w:eastAsia="Times New Roman" w:hAnsi="Times New Roman" w:cs="Times New Roman"/>
                <w:sz w:val="24"/>
                <w:szCs w:val="24"/>
                <w:lang w:val="uk-UA" w:eastAsia="ru-RU"/>
              </w:rPr>
              <w:t xml:space="preserve"> до нього.</w:t>
            </w:r>
          </w:p>
          <w:p w:rsidR="00B15D37" w:rsidRPr="003377BD" w:rsidRDefault="00656D3A" w:rsidP="00656D3A">
            <w:pPr>
              <w:spacing w:after="0" w:line="240" w:lineRule="auto"/>
              <w:ind w:left="207" w:right="132"/>
              <w:jc w:val="both"/>
              <w:rPr>
                <w:rFonts w:ascii="Times New Roman" w:eastAsia="Times New Roman" w:hAnsi="Times New Roman" w:cs="Times New Roman"/>
                <w:sz w:val="24"/>
                <w:szCs w:val="24"/>
                <w:lang w:val="uk-UA" w:eastAsia="ru-RU"/>
              </w:rPr>
            </w:pPr>
            <w:r w:rsidRPr="00206C7C">
              <w:rPr>
                <w:rFonts w:ascii="Times New Roman" w:eastAsia="Times New Roman" w:hAnsi="Times New Roman" w:cs="Times New Roman"/>
                <w:sz w:val="24"/>
                <w:szCs w:val="24"/>
                <w:lang w:val="uk-UA" w:eastAsia="ru-RU"/>
              </w:rPr>
              <w:t>Розглядає у межах повноважень та в установленому</w:t>
            </w:r>
            <w:r>
              <w:rPr>
                <w:rFonts w:ascii="Times New Roman" w:eastAsia="Times New Roman" w:hAnsi="Times New Roman" w:cs="Times New Roman"/>
                <w:sz w:val="24"/>
                <w:szCs w:val="24"/>
                <w:lang w:val="uk-UA" w:eastAsia="ru-RU"/>
              </w:rPr>
              <w:t xml:space="preserve"> законодавством порядку звернення</w:t>
            </w:r>
            <w:r w:rsidRPr="00206C7C">
              <w:rPr>
                <w:rFonts w:ascii="Times New Roman" w:eastAsia="Times New Roman" w:hAnsi="Times New Roman" w:cs="Times New Roman"/>
                <w:sz w:val="24"/>
                <w:szCs w:val="24"/>
                <w:lang w:val="uk-UA" w:eastAsia="ru-RU"/>
              </w:rPr>
              <w:t xml:space="preserve"> громадян та юридичних осіб.</w:t>
            </w:r>
          </w:p>
        </w:tc>
      </w:tr>
      <w:tr w:rsidR="00B15D37" w:rsidRPr="00F93D48"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424CAC" w:rsidRPr="00C01EBC">
              <w:rPr>
                <w:rFonts w:ascii="Times New Roman" w:eastAsia="Times New Roman" w:hAnsi="Times New Roman" w:cs="Times New Roman"/>
                <w:sz w:val="24"/>
                <w:szCs w:val="24"/>
                <w:lang w:val="uk-UA" w:eastAsia="ru-RU"/>
              </w:rPr>
              <w:t>1</w:t>
            </w:r>
            <w:r w:rsidR="00271887" w:rsidRPr="00C01EBC">
              <w:rPr>
                <w:rFonts w:ascii="Times New Roman" w:eastAsia="Times New Roman" w:hAnsi="Times New Roman" w:cs="Times New Roman"/>
                <w:sz w:val="24"/>
                <w:szCs w:val="24"/>
                <w:lang w:val="uk-UA" w:eastAsia="ru-RU"/>
              </w:rPr>
              <w:t>3 875</w:t>
            </w:r>
            <w:r w:rsidR="0008115E" w:rsidRPr="00C01EBC">
              <w:rPr>
                <w:rFonts w:ascii="Times New Roman" w:eastAsia="Times New Roman" w:hAnsi="Times New Roman" w:cs="Times New Roman"/>
                <w:sz w:val="24"/>
                <w:szCs w:val="24"/>
                <w:lang w:val="uk-UA" w:eastAsia="ru-RU"/>
              </w:rPr>
              <w:t xml:space="preserve"> 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AD2A5D" w:rsidRPr="002F41BA" w:rsidRDefault="00AD2A5D" w:rsidP="00AD2A5D">
            <w:pPr>
              <w:spacing w:before="150" w:after="150" w:line="240" w:lineRule="auto"/>
              <w:ind w:left="142" w:right="63"/>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419" w:type="dxa"/>
            <w:tcBorders>
              <w:top w:val="single" w:sz="2" w:space="0" w:color="auto"/>
              <w:left w:val="single" w:sz="2" w:space="0" w:color="auto"/>
              <w:bottom w:val="single" w:sz="2" w:space="0" w:color="auto"/>
              <w:right w:val="single" w:sz="2" w:space="0" w:color="auto"/>
            </w:tcBorders>
            <w:hideMark/>
          </w:tcPr>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 резюме за формою згідно з додатком 2</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w:t>
            </w:r>
            <w:r w:rsidRPr="0024091C">
              <w:rPr>
                <w:rFonts w:ascii="Times New Roman" w:eastAsia="Times New Roman" w:hAnsi="Times New Roman" w:cs="Times New Roman"/>
                <w:sz w:val="24"/>
                <w:szCs w:val="24"/>
                <w:lang w:val="uk-UA" w:eastAsia="ru-RU"/>
              </w:rPr>
              <w:lastRenderedPageBreak/>
              <w:t>обов’язково зазначається така інформація:</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прізвище, ім’я, по батькові кандидата;</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подача додатків до заяви не є обов’язковою;</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w:t>
            </w:r>
            <w:proofErr w:type="spellStart"/>
            <w:r w:rsidRPr="0024091C">
              <w:rPr>
                <w:rFonts w:ascii="Times New Roman" w:hAnsi="Times New Roman" w:cs="Times New Roman"/>
                <w:sz w:val="24"/>
                <w:szCs w:val="24"/>
                <w:shd w:val="clear" w:color="auto" w:fill="FFFFFF"/>
              </w:rPr>
              <w:t>копію</w:t>
            </w:r>
            <w:proofErr w:type="spellEnd"/>
            <w:r w:rsidRPr="0024091C">
              <w:rPr>
                <w:rFonts w:ascii="Times New Roman" w:hAnsi="Times New Roman" w:cs="Times New Roman"/>
                <w:sz w:val="24"/>
                <w:szCs w:val="24"/>
                <w:shd w:val="clear" w:color="auto" w:fill="FFFFFF"/>
              </w:rPr>
              <w:t xml:space="preserve"> Державного </w:t>
            </w:r>
            <w:proofErr w:type="spellStart"/>
            <w:r w:rsidRPr="0024091C">
              <w:rPr>
                <w:rFonts w:ascii="Times New Roman" w:hAnsi="Times New Roman" w:cs="Times New Roman"/>
                <w:sz w:val="24"/>
                <w:szCs w:val="24"/>
                <w:shd w:val="clear" w:color="auto" w:fill="FFFFFF"/>
              </w:rPr>
              <w:t>сертифіката</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витяг</w:t>
            </w:r>
            <w:proofErr w:type="spellEnd"/>
            <w:r w:rsidRPr="0024091C">
              <w:rPr>
                <w:rFonts w:ascii="Times New Roman" w:hAnsi="Times New Roman" w:cs="Times New Roman"/>
                <w:sz w:val="24"/>
                <w:szCs w:val="24"/>
                <w:shd w:val="clear" w:color="auto" w:fill="FFFFFF"/>
              </w:rPr>
              <w:t xml:space="preserve"> з </w:t>
            </w:r>
            <w:proofErr w:type="spellStart"/>
            <w:r w:rsidRPr="0024091C">
              <w:rPr>
                <w:rFonts w:ascii="Times New Roman" w:hAnsi="Times New Roman" w:cs="Times New Roman"/>
                <w:sz w:val="24"/>
                <w:szCs w:val="24"/>
                <w:shd w:val="clear" w:color="auto" w:fill="FFFFFF"/>
              </w:rPr>
              <w:t>реєстру</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Державних</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сертифікатів</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що</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підтверджує</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визначений</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Національною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комісією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зі</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стандартів</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державної</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мови</w:t>
            </w:r>
            <w:proofErr w:type="spellEnd"/>
            <w:r w:rsidRPr="0024091C">
              <w:rPr>
                <w:rFonts w:ascii="Times New Roman" w:hAnsi="Times New Roman" w:cs="Times New Roman"/>
                <w:sz w:val="24"/>
                <w:szCs w:val="24"/>
                <w:shd w:val="clear" w:color="auto" w:fill="FFFFFF"/>
                <w:lang w:val="uk-UA"/>
              </w:rPr>
              <w:t>.</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4091C">
              <w:rPr>
                <w:rFonts w:ascii="Times New Roman" w:eastAsia="Times New Roman" w:hAnsi="Times New Roman" w:cs="Times New Roman"/>
                <w:sz w:val="24"/>
                <w:szCs w:val="24"/>
                <w:lang w:val="uk-UA" w:eastAsia="ru-RU"/>
              </w:rPr>
              <w:t>компетентностей</w:t>
            </w:r>
            <w:proofErr w:type="spellEnd"/>
            <w:r w:rsidRPr="0024091C">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AD2A5D" w:rsidRPr="002F41BA" w:rsidRDefault="00AD2A5D" w:rsidP="00AD2A5D">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AD2A5D" w:rsidRPr="002F41BA" w:rsidRDefault="00AD2A5D" w:rsidP="00AD2A5D">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AD2A5D" w:rsidRPr="002F41BA" w:rsidRDefault="00AD2A5D" w:rsidP="00AD2A5D">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AD2A5D" w:rsidRPr="002F41BA" w:rsidRDefault="00AD2A5D" w:rsidP="00AD2A5D">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AD2A5D" w:rsidRPr="00E86561" w:rsidRDefault="00AD2A5D" w:rsidP="00AD2A5D">
            <w:pPr>
              <w:pStyle w:val="a8"/>
              <w:ind w:left="142" w:right="63"/>
              <w:jc w:val="both"/>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 xml:space="preserve">Місце або спосіб проведення співбесіди з метою визначення </w:t>
            </w:r>
            <w:r w:rsidRPr="002F41BA">
              <w:rPr>
                <w:rFonts w:ascii="Times New Roman" w:hAnsi="Times New Roman" w:cs="Times New Roman"/>
                <w:sz w:val="24"/>
                <w:szCs w:val="24"/>
                <w:lang w:val="uk-UA" w:eastAsia="ru-RU"/>
              </w:rPr>
              <w:lastRenderedPageBreak/>
              <w:t>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lastRenderedPageBreak/>
              <w:t>20 жовтня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4091C">
              <w:rPr>
                <w:rFonts w:ascii="Times New Roman" w:eastAsia="Times New Roman" w:hAnsi="Times New Roman" w:cs="Times New Roman"/>
                <w:sz w:val="24"/>
                <w:szCs w:val="24"/>
                <w:lang w:val="uk-UA" w:eastAsia="ru-RU"/>
              </w:rPr>
              <w:t>Webex</w:t>
            </w:r>
            <w:proofErr w:type="spellEnd"/>
          </w:p>
        </w:tc>
      </w:tr>
      <w:tr w:rsidR="00AD2A5D" w:rsidRPr="00F93D48" w:rsidTr="000725A1">
        <w:tc>
          <w:tcPr>
            <w:tcW w:w="2942" w:type="dxa"/>
            <w:gridSpan w:val="2"/>
            <w:tcBorders>
              <w:top w:val="single" w:sz="2" w:space="0" w:color="auto"/>
              <w:left w:val="single" w:sz="2" w:space="0" w:color="auto"/>
              <w:bottom w:val="single" w:sz="2" w:space="0" w:color="auto"/>
              <w:right w:val="single" w:sz="2" w:space="0" w:color="auto"/>
            </w:tcBorders>
            <w:hideMark/>
          </w:tcPr>
          <w:p w:rsidR="00AD2A5D" w:rsidRPr="00E86561" w:rsidRDefault="00AD2A5D" w:rsidP="00AD2A5D">
            <w:pPr>
              <w:spacing w:before="150" w:after="150" w:line="240" w:lineRule="auto"/>
              <w:ind w:left="142" w:right="63"/>
              <w:jc w:val="both"/>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Бабич Євгенія Іванівна;</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Хоменко Тетяна Олександрівна;</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(044) 204-79-19;</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en-US" w:eastAsia="ru-RU"/>
              </w:rPr>
              <w:t>k</w:t>
            </w:r>
            <w:r w:rsidRPr="0024091C">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F93E2C">
            <w:pPr>
              <w:spacing w:after="0" w:line="240" w:lineRule="auto"/>
              <w:ind w:firstLine="286"/>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2. Закону України «Про ринок електричної енергії».</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3. Закону України «Про теплопостачання».</w:t>
            </w:r>
          </w:p>
          <w:p w:rsidR="007D7146" w:rsidRPr="003E54B0"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sidR="003E54B0">
              <w:rPr>
                <w:rFonts w:ascii="Times New Roman" w:hAnsi="Times New Roman" w:cs="Times New Roman"/>
                <w:sz w:val="24"/>
                <w:szCs w:val="24"/>
                <w:lang w:val="uk-UA" w:eastAsia="ru-RU"/>
              </w:rPr>
              <w:t xml:space="preserve"> </w:t>
            </w:r>
            <w:r w:rsidRPr="003E54B0">
              <w:rPr>
                <w:rFonts w:ascii="Times New Roman" w:hAnsi="Times New Roman" w:cs="Times New Roman"/>
                <w:sz w:val="24"/>
                <w:szCs w:val="24"/>
                <w:lang w:val="uk-UA" w:eastAsia="ru-RU"/>
              </w:rPr>
              <w:t>(зі змінами).</w:t>
            </w:r>
          </w:p>
          <w:p w:rsidR="007D7146" w:rsidRPr="003E54B0"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w:t>
            </w:r>
            <w:r w:rsidR="003E54B0">
              <w:rPr>
                <w:rFonts w:ascii="Times New Roman" w:hAnsi="Times New Roman" w:cs="Times New Roman"/>
                <w:sz w:val="24"/>
                <w:szCs w:val="24"/>
                <w:lang w:val="uk-UA" w:eastAsia="ru-RU"/>
              </w:rPr>
              <w:t xml:space="preserve">ою праці від 06 жовтня </w:t>
            </w:r>
            <w:r w:rsidRPr="003E54B0">
              <w:rPr>
                <w:rFonts w:ascii="Times New Roman" w:hAnsi="Times New Roman" w:cs="Times New Roman"/>
                <w:sz w:val="24"/>
                <w:szCs w:val="24"/>
                <w:lang w:val="uk-UA" w:eastAsia="ru-RU"/>
              </w:rPr>
              <w:t>1997 року № 257 (зі змінами).</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 xml:space="preserve">6. Наказу Міністерства палива та енергетики України </w:t>
            </w:r>
            <w:r w:rsidR="000D01CD">
              <w:rPr>
                <w:rFonts w:ascii="Times New Roman" w:hAnsi="Times New Roman" w:cs="Times New Roman"/>
                <w:sz w:val="24"/>
                <w:szCs w:val="24"/>
                <w:lang w:val="uk-UA" w:eastAsia="ru-RU"/>
              </w:rPr>
              <w:t xml:space="preserve">      </w:t>
            </w:r>
            <w:r w:rsidRPr="00C91878">
              <w:rPr>
                <w:rFonts w:ascii="Times New Roman" w:hAnsi="Times New Roman" w:cs="Times New Roman"/>
                <w:sz w:val="24"/>
                <w:szCs w:val="24"/>
                <w:lang w:val="uk-UA" w:eastAsia="ru-RU"/>
              </w:rPr>
              <w:t>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D7146" w:rsidRPr="000D01CD" w:rsidRDefault="007D7146" w:rsidP="000D01CD">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(зі змінами).</w:t>
            </w:r>
          </w:p>
          <w:p w:rsidR="001C3886" w:rsidRPr="000D01CD" w:rsidRDefault="007D7146" w:rsidP="000D01CD">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 xml:space="preserve">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w:t>
            </w:r>
            <w:r w:rsidR="000D01CD">
              <w:rPr>
                <w:rFonts w:ascii="Times New Roman" w:hAnsi="Times New Roman" w:cs="Times New Roman"/>
                <w:sz w:val="24"/>
                <w:szCs w:val="24"/>
                <w:lang w:val="uk-UA" w:eastAsia="ru-RU"/>
              </w:rPr>
              <w:t xml:space="preserve">              </w:t>
            </w:r>
            <w:r w:rsidRPr="00C91878">
              <w:rPr>
                <w:rFonts w:ascii="Times New Roman" w:hAnsi="Times New Roman" w:cs="Times New Roman"/>
                <w:sz w:val="24"/>
                <w:szCs w:val="24"/>
                <w:lang w:val="uk-UA" w:eastAsia="ru-RU"/>
              </w:rPr>
              <w:t>10 грудня 2008 року № 620/378, зареєстрованих в Міністерстві юстиції України</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xml:space="preserve">31 грудня 2008 року за </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BF66A2" w:rsidRDefault="00943840" w:rsidP="00115BD9">
      <w:pPr>
        <w:spacing w:after="0"/>
        <w:rPr>
          <w:rFonts w:ascii="Times New Roman" w:hAnsi="Times New Roman"/>
          <w:bCs/>
          <w:sz w:val="28"/>
          <w:szCs w:val="28"/>
        </w:rPr>
      </w:pPr>
      <w:r w:rsidRPr="00BF66A2">
        <w:rPr>
          <w:rFonts w:ascii="Times New Roman" w:hAnsi="Times New Roman"/>
          <w:bCs/>
          <w:sz w:val="28"/>
          <w:szCs w:val="28"/>
          <w:lang w:val="uk-UA"/>
        </w:rPr>
        <w:t>Н</w:t>
      </w:r>
      <w:proofErr w:type="spellStart"/>
      <w:r w:rsidR="00BF66A2" w:rsidRPr="00BF66A2">
        <w:rPr>
          <w:rFonts w:ascii="Times New Roman" w:hAnsi="Times New Roman"/>
          <w:bCs/>
          <w:sz w:val="28"/>
          <w:szCs w:val="28"/>
        </w:rPr>
        <w:t>ачальник</w:t>
      </w:r>
      <w:proofErr w:type="spellEnd"/>
      <w:r w:rsidRPr="00BF66A2">
        <w:rPr>
          <w:rFonts w:ascii="Times New Roman" w:hAnsi="Times New Roman"/>
          <w:bCs/>
          <w:sz w:val="28"/>
          <w:szCs w:val="28"/>
        </w:rPr>
        <w:t xml:space="preserve"> Управління </w:t>
      </w:r>
    </w:p>
    <w:p w:rsidR="009556E0" w:rsidRPr="00BF66A2" w:rsidRDefault="00115BD9" w:rsidP="00115BD9">
      <w:pPr>
        <w:spacing w:after="0"/>
        <w:rPr>
          <w:rFonts w:ascii="Times New Roman" w:hAnsi="Times New Roman"/>
          <w:bCs/>
          <w:sz w:val="28"/>
          <w:szCs w:val="28"/>
          <w:lang w:val="uk-UA"/>
        </w:rPr>
      </w:pPr>
      <w:r w:rsidRPr="00BF66A2">
        <w:rPr>
          <w:rFonts w:ascii="Times New Roman" w:hAnsi="Times New Roman"/>
          <w:bCs/>
          <w:sz w:val="28"/>
          <w:szCs w:val="28"/>
        </w:rPr>
        <w:t xml:space="preserve">по </w:t>
      </w:r>
      <w:proofErr w:type="spellStart"/>
      <w:r w:rsidRPr="00BF66A2">
        <w:rPr>
          <w:rFonts w:ascii="Times New Roman" w:hAnsi="Times New Roman"/>
          <w:bCs/>
          <w:sz w:val="28"/>
          <w:szCs w:val="28"/>
        </w:rPr>
        <w:t>роботі</w:t>
      </w:r>
      <w:proofErr w:type="spellEnd"/>
      <w:r w:rsidRPr="00BF66A2">
        <w:rPr>
          <w:rFonts w:ascii="Times New Roman" w:hAnsi="Times New Roman"/>
          <w:bCs/>
          <w:sz w:val="28"/>
          <w:szCs w:val="28"/>
        </w:rPr>
        <w:t xml:space="preserve"> з персоналом</w:t>
      </w:r>
      <w:r w:rsidRPr="00BF66A2">
        <w:rPr>
          <w:rFonts w:ascii="Times New Roman" w:hAnsi="Times New Roman"/>
          <w:bCs/>
          <w:sz w:val="28"/>
          <w:szCs w:val="28"/>
        </w:rPr>
        <w:tab/>
      </w:r>
      <w:r w:rsidRPr="00BF66A2">
        <w:rPr>
          <w:rFonts w:ascii="Times New Roman" w:hAnsi="Times New Roman"/>
          <w:bCs/>
          <w:sz w:val="28"/>
          <w:szCs w:val="28"/>
        </w:rPr>
        <w:tab/>
      </w:r>
      <w:r w:rsidRPr="00BF66A2">
        <w:rPr>
          <w:rFonts w:ascii="Times New Roman" w:hAnsi="Times New Roman"/>
          <w:bCs/>
          <w:sz w:val="28"/>
          <w:szCs w:val="28"/>
        </w:rPr>
        <w:tab/>
        <w:t xml:space="preserve">      </w:t>
      </w:r>
      <w:r w:rsidRPr="00BF66A2">
        <w:rPr>
          <w:rFonts w:ascii="Times New Roman" w:hAnsi="Times New Roman"/>
          <w:bCs/>
          <w:sz w:val="28"/>
          <w:szCs w:val="28"/>
          <w:lang w:val="uk-UA"/>
        </w:rPr>
        <w:t xml:space="preserve">       </w:t>
      </w:r>
      <w:r w:rsidR="00FC35F1" w:rsidRPr="00BF66A2">
        <w:rPr>
          <w:rFonts w:ascii="Times New Roman" w:hAnsi="Times New Roman"/>
          <w:bCs/>
          <w:sz w:val="28"/>
          <w:szCs w:val="28"/>
          <w:lang w:val="uk-UA"/>
        </w:rPr>
        <w:t xml:space="preserve">                           </w:t>
      </w:r>
      <w:r w:rsidRPr="00BF66A2">
        <w:rPr>
          <w:rFonts w:ascii="Times New Roman" w:hAnsi="Times New Roman"/>
          <w:bCs/>
          <w:sz w:val="28"/>
          <w:szCs w:val="28"/>
          <w:lang w:val="uk-UA"/>
        </w:rPr>
        <w:t xml:space="preserve">  </w:t>
      </w:r>
      <w:r w:rsidRPr="00BF66A2">
        <w:rPr>
          <w:rFonts w:ascii="Times New Roman" w:hAnsi="Times New Roman"/>
          <w:bCs/>
          <w:sz w:val="28"/>
          <w:szCs w:val="28"/>
        </w:rPr>
        <w:t xml:space="preserve">    </w:t>
      </w:r>
      <w:r w:rsidR="00943840" w:rsidRPr="00BF66A2">
        <w:rPr>
          <w:rFonts w:ascii="Times New Roman" w:hAnsi="Times New Roman"/>
          <w:bCs/>
          <w:sz w:val="28"/>
          <w:szCs w:val="28"/>
          <w:lang w:val="uk-UA"/>
        </w:rPr>
        <w:t>Тетяна КОЗАК</w:t>
      </w:r>
    </w:p>
    <w:sectPr w:rsidR="009556E0" w:rsidRPr="00BF66A2" w:rsidSect="006B3DAB">
      <w:headerReference w:type="default" r:id="rId10"/>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AB" w:rsidRDefault="006B3DAB" w:rsidP="006B3DAB">
      <w:pPr>
        <w:spacing w:after="0" w:line="240" w:lineRule="auto"/>
      </w:pPr>
      <w:r>
        <w:separator/>
      </w:r>
    </w:p>
  </w:endnote>
  <w:endnote w:type="continuationSeparator" w:id="0">
    <w:p w:rsidR="006B3DAB" w:rsidRDefault="006B3DAB" w:rsidP="006B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AB" w:rsidRDefault="006B3DAB" w:rsidP="006B3DAB">
      <w:pPr>
        <w:spacing w:after="0" w:line="240" w:lineRule="auto"/>
      </w:pPr>
      <w:r>
        <w:separator/>
      </w:r>
    </w:p>
  </w:footnote>
  <w:footnote w:type="continuationSeparator" w:id="0">
    <w:p w:rsidR="006B3DAB" w:rsidRDefault="006B3DAB" w:rsidP="006B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40898"/>
      <w:docPartObj>
        <w:docPartGallery w:val="Page Numbers (Top of Page)"/>
        <w:docPartUnique/>
      </w:docPartObj>
    </w:sdtPr>
    <w:sdtEndPr/>
    <w:sdtContent>
      <w:p w:rsidR="006B3DAB" w:rsidRDefault="006B3DAB">
        <w:pPr>
          <w:pStyle w:val="a9"/>
          <w:jc w:val="center"/>
        </w:pPr>
        <w:r w:rsidRPr="006B3DAB">
          <w:rPr>
            <w:rFonts w:ascii="Times New Roman" w:hAnsi="Times New Roman" w:cs="Times New Roman"/>
            <w:sz w:val="24"/>
          </w:rPr>
          <w:fldChar w:fldCharType="begin"/>
        </w:r>
        <w:r w:rsidRPr="006B3DAB">
          <w:rPr>
            <w:rFonts w:ascii="Times New Roman" w:hAnsi="Times New Roman" w:cs="Times New Roman"/>
            <w:sz w:val="24"/>
          </w:rPr>
          <w:instrText>PAGE   \* MERGEFORMAT</w:instrText>
        </w:r>
        <w:r w:rsidRPr="006B3DAB">
          <w:rPr>
            <w:rFonts w:ascii="Times New Roman" w:hAnsi="Times New Roman" w:cs="Times New Roman"/>
            <w:sz w:val="24"/>
          </w:rPr>
          <w:fldChar w:fldCharType="separate"/>
        </w:r>
        <w:r w:rsidR="00F93D48" w:rsidRPr="00F93D48">
          <w:rPr>
            <w:rFonts w:ascii="Times New Roman" w:hAnsi="Times New Roman" w:cs="Times New Roman"/>
            <w:noProof/>
            <w:sz w:val="24"/>
            <w:lang w:val="uk-UA"/>
          </w:rPr>
          <w:t>6</w:t>
        </w:r>
        <w:r w:rsidRPr="006B3DAB">
          <w:rPr>
            <w:rFonts w:ascii="Times New Roman" w:hAnsi="Times New Roman" w:cs="Times New Roman"/>
            <w:sz w:val="24"/>
          </w:rPr>
          <w:fldChar w:fldCharType="end"/>
        </w:r>
      </w:p>
    </w:sdtContent>
  </w:sdt>
  <w:p w:rsidR="006B3DAB" w:rsidRDefault="006B3D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52E97"/>
    <w:rsid w:val="00056C6B"/>
    <w:rsid w:val="000725A1"/>
    <w:rsid w:val="00072AE7"/>
    <w:rsid w:val="00074855"/>
    <w:rsid w:val="00077F91"/>
    <w:rsid w:val="0008115E"/>
    <w:rsid w:val="00090089"/>
    <w:rsid w:val="000B5393"/>
    <w:rsid w:val="000C01DE"/>
    <w:rsid w:val="000D01CD"/>
    <w:rsid w:val="000F520E"/>
    <w:rsid w:val="00104071"/>
    <w:rsid w:val="00115BD9"/>
    <w:rsid w:val="0011743F"/>
    <w:rsid w:val="00117B40"/>
    <w:rsid w:val="00122478"/>
    <w:rsid w:val="001714A9"/>
    <w:rsid w:val="00185B95"/>
    <w:rsid w:val="00197E43"/>
    <w:rsid w:val="001C3886"/>
    <w:rsid w:val="001C6D71"/>
    <w:rsid w:val="00202AC3"/>
    <w:rsid w:val="00236652"/>
    <w:rsid w:val="002511D2"/>
    <w:rsid w:val="0025454A"/>
    <w:rsid w:val="0026089C"/>
    <w:rsid w:val="00271887"/>
    <w:rsid w:val="002805BC"/>
    <w:rsid w:val="002A4043"/>
    <w:rsid w:val="002B07CF"/>
    <w:rsid w:val="002B6D79"/>
    <w:rsid w:val="002F41BA"/>
    <w:rsid w:val="00301259"/>
    <w:rsid w:val="00321076"/>
    <w:rsid w:val="00322B5E"/>
    <w:rsid w:val="003377BD"/>
    <w:rsid w:val="0034320A"/>
    <w:rsid w:val="00346727"/>
    <w:rsid w:val="00351003"/>
    <w:rsid w:val="00361521"/>
    <w:rsid w:val="0037371A"/>
    <w:rsid w:val="00373D31"/>
    <w:rsid w:val="003826EB"/>
    <w:rsid w:val="003949FB"/>
    <w:rsid w:val="003A5896"/>
    <w:rsid w:val="003D2D16"/>
    <w:rsid w:val="003E2C5A"/>
    <w:rsid w:val="003E54B0"/>
    <w:rsid w:val="003E695F"/>
    <w:rsid w:val="003F1013"/>
    <w:rsid w:val="00424CAC"/>
    <w:rsid w:val="00441E9A"/>
    <w:rsid w:val="00494148"/>
    <w:rsid w:val="004A5DA1"/>
    <w:rsid w:val="004A686B"/>
    <w:rsid w:val="004B64AF"/>
    <w:rsid w:val="004D47B2"/>
    <w:rsid w:val="004D631A"/>
    <w:rsid w:val="004D66F7"/>
    <w:rsid w:val="004F38EA"/>
    <w:rsid w:val="004F45AD"/>
    <w:rsid w:val="00533065"/>
    <w:rsid w:val="0054188E"/>
    <w:rsid w:val="0056400D"/>
    <w:rsid w:val="005641C6"/>
    <w:rsid w:val="00583B11"/>
    <w:rsid w:val="0059573E"/>
    <w:rsid w:val="005A6612"/>
    <w:rsid w:val="005B344F"/>
    <w:rsid w:val="005D27AB"/>
    <w:rsid w:val="005F48A6"/>
    <w:rsid w:val="005F5A5C"/>
    <w:rsid w:val="00624B67"/>
    <w:rsid w:val="00635C00"/>
    <w:rsid w:val="0064119F"/>
    <w:rsid w:val="00647A7A"/>
    <w:rsid w:val="006503CA"/>
    <w:rsid w:val="00656D3A"/>
    <w:rsid w:val="00661D2B"/>
    <w:rsid w:val="00692C7D"/>
    <w:rsid w:val="006A3678"/>
    <w:rsid w:val="006B3DAB"/>
    <w:rsid w:val="007218D9"/>
    <w:rsid w:val="0073119A"/>
    <w:rsid w:val="00740C43"/>
    <w:rsid w:val="00794E6E"/>
    <w:rsid w:val="007B0B4F"/>
    <w:rsid w:val="007C25B9"/>
    <w:rsid w:val="007D7146"/>
    <w:rsid w:val="007E5B2E"/>
    <w:rsid w:val="007F1E88"/>
    <w:rsid w:val="008002DA"/>
    <w:rsid w:val="0082185C"/>
    <w:rsid w:val="0085546D"/>
    <w:rsid w:val="00856FC7"/>
    <w:rsid w:val="00866A61"/>
    <w:rsid w:val="00873359"/>
    <w:rsid w:val="00874497"/>
    <w:rsid w:val="008A35B2"/>
    <w:rsid w:val="008C32CF"/>
    <w:rsid w:val="008C7DE6"/>
    <w:rsid w:val="008E3A30"/>
    <w:rsid w:val="00900966"/>
    <w:rsid w:val="0091247B"/>
    <w:rsid w:val="009311C9"/>
    <w:rsid w:val="00943840"/>
    <w:rsid w:val="0094711D"/>
    <w:rsid w:val="009556E0"/>
    <w:rsid w:val="0097380E"/>
    <w:rsid w:val="009A0BCA"/>
    <w:rsid w:val="009C1584"/>
    <w:rsid w:val="009C48AC"/>
    <w:rsid w:val="009C6440"/>
    <w:rsid w:val="009D7397"/>
    <w:rsid w:val="009E035F"/>
    <w:rsid w:val="009F6D57"/>
    <w:rsid w:val="00A00C22"/>
    <w:rsid w:val="00A07C2B"/>
    <w:rsid w:val="00A13B7B"/>
    <w:rsid w:val="00A17064"/>
    <w:rsid w:val="00A475DE"/>
    <w:rsid w:val="00A71301"/>
    <w:rsid w:val="00A9327E"/>
    <w:rsid w:val="00A96562"/>
    <w:rsid w:val="00AA2F69"/>
    <w:rsid w:val="00AA35D8"/>
    <w:rsid w:val="00AA3AF1"/>
    <w:rsid w:val="00AD19B1"/>
    <w:rsid w:val="00AD2A5D"/>
    <w:rsid w:val="00AE52F4"/>
    <w:rsid w:val="00B11CAC"/>
    <w:rsid w:val="00B15D37"/>
    <w:rsid w:val="00B15E40"/>
    <w:rsid w:val="00B20455"/>
    <w:rsid w:val="00B30590"/>
    <w:rsid w:val="00B32F08"/>
    <w:rsid w:val="00B37117"/>
    <w:rsid w:val="00B54E49"/>
    <w:rsid w:val="00B56368"/>
    <w:rsid w:val="00B87886"/>
    <w:rsid w:val="00B97F22"/>
    <w:rsid w:val="00BA1EF8"/>
    <w:rsid w:val="00BA3EBD"/>
    <w:rsid w:val="00BD0128"/>
    <w:rsid w:val="00BD5F7C"/>
    <w:rsid w:val="00BE2160"/>
    <w:rsid w:val="00BE6BCA"/>
    <w:rsid w:val="00BF66A2"/>
    <w:rsid w:val="00C01EBC"/>
    <w:rsid w:val="00C0303C"/>
    <w:rsid w:val="00C415C6"/>
    <w:rsid w:val="00C51AE5"/>
    <w:rsid w:val="00C543C2"/>
    <w:rsid w:val="00C60CC1"/>
    <w:rsid w:val="00C64771"/>
    <w:rsid w:val="00C91878"/>
    <w:rsid w:val="00CB0CDE"/>
    <w:rsid w:val="00CD310B"/>
    <w:rsid w:val="00CD39CD"/>
    <w:rsid w:val="00CD5867"/>
    <w:rsid w:val="00CD7C7B"/>
    <w:rsid w:val="00CF086E"/>
    <w:rsid w:val="00CF1D03"/>
    <w:rsid w:val="00CF20E8"/>
    <w:rsid w:val="00D0377C"/>
    <w:rsid w:val="00D433DF"/>
    <w:rsid w:val="00D45230"/>
    <w:rsid w:val="00D45CFC"/>
    <w:rsid w:val="00D46C8D"/>
    <w:rsid w:val="00D63FC8"/>
    <w:rsid w:val="00D9180F"/>
    <w:rsid w:val="00D9270D"/>
    <w:rsid w:val="00DA5A01"/>
    <w:rsid w:val="00DA6A9F"/>
    <w:rsid w:val="00DB1CEF"/>
    <w:rsid w:val="00DB77DE"/>
    <w:rsid w:val="00DC0141"/>
    <w:rsid w:val="00DC4714"/>
    <w:rsid w:val="00DC7852"/>
    <w:rsid w:val="00DD180A"/>
    <w:rsid w:val="00DD6E4A"/>
    <w:rsid w:val="00DE5C5E"/>
    <w:rsid w:val="00DF545F"/>
    <w:rsid w:val="00E40CB4"/>
    <w:rsid w:val="00E6670E"/>
    <w:rsid w:val="00E71975"/>
    <w:rsid w:val="00E86561"/>
    <w:rsid w:val="00E87D90"/>
    <w:rsid w:val="00EB41D3"/>
    <w:rsid w:val="00ED29BA"/>
    <w:rsid w:val="00EE3967"/>
    <w:rsid w:val="00F0430A"/>
    <w:rsid w:val="00F32818"/>
    <w:rsid w:val="00F5341F"/>
    <w:rsid w:val="00F6300B"/>
    <w:rsid w:val="00F84BF3"/>
    <w:rsid w:val="00F85FEA"/>
    <w:rsid w:val="00F86951"/>
    <w:rsid w:val="00F91443"/>
    <w:rsid w:val="00F93C29"/>
    <w:rsid w:val="00F93D48"/>
    <w:rsid w:val="00F93E2C"/>
    <w:rsid w:val="00F96007"/>
    <w:rsid w:val="00FA21E3"/>
    <w:rsid w:val="00FA26D2"/>
    <w:rsid w:val="00FB0A07"/>
    <w:rsid w:val="00FC35F1"/>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A1DA"/>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6B3DA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B3DAB"/>
  </w:style>
  <w:style w:type="paragraph" w:styleId="ab">
    <w:name w:val="footer"/>
    <w:basedOn w:val="a"/>
    <w:link w:val="ac"/>
    <w:uiPriority w:val="99"/>
    <w:unhideWhenUsed/>
    <w:rsid w:val="006B3DA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B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6</Pages>
  <Words>7890</Words>
  <Characters>4498</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212</cp:revision>
  <cp:lastPrinted>2021-03-22T09:52:00Z</cp:lastPrinted>
  <dcterms:created xsi:type="dcterms:W3CDTF">2021-03-22T11:00:00Z</dcterms:created>
  <dcterms:modified xsi:type="dcterms:W3CDTF">2021-10-11T11:56:00Z</dcterms:modified>
</cp:coreProperties>
</file>