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9FE8D" w14:textId="77777777" w:rsidR="00180182" w:rsidRDefault="00180182" w:rsidP="00D66B1B">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14:paraId="6C7763AD" w14:textId="77777777" w:rsidR="00180182" w:rsidRDefault="00D66B1B" w:rsidP="00D66B1B">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180182">
        <w:rPr>
          <w:rFonts w:ascii="Times New Roman" w:eastAsia="Calibri" w:hAnsi="Times New Roman" w:cs="Times New Roman"/>
          <w:sz w:val="24"/>
          <w:szCs w:val="24"/>
          <w:lang w:val="uk-UA" w:eastAsia="ru-RU"/>
        </w:rPr>
        <w:t>інспекції енергетичного нагляду України</w:t>
      </w:r>
    </w:p>
    <w:p w14:paraId="15622C83" w14:textId="77777777" w:rsidR="00F63ED0" w:rsidRDefault="00F63ED0" w:rsidP="00F63ED0">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p>
    <w:p w14:paraId="68856BDE" w14:textId="77777777" w:rsidR="00F0430A" w:rsidRPr="00CF1D03" w:rsidRDefault="00F0430A" w:rsidP="00F0430A">
      <w:pPr>
        <w:pStyle w:val="a3"/>
        <w:tabs>
          <w:tab w:val="left" w:pos="1260"/>
        </w:tabs>
        <w:spacing w:before="0" w:beforeAutospacing="0" w:after="0" w:afterAutospacing="0"/>
        <w:ind w:left="5103"/>
        <w:jc w:val="both"/>
        <w:rPr>
          <w:color w:val="000000" w:themeColor="text1"/>
          <w:lang w:val="uk-UA"/>
        </w:rPr>
      </w:pPr>
      <w:bookmarkStart w:id="1" w:name="_GoBack"/>
      <w:bookmarkEnd w:id="1"/>
    </w:p>
    <w:p w14:paraId="6188085A" w14:textId="77777777" w:rsidR="00F0430A" w:rsidRPr="00CF1D03" w:rsidRDefault="00F0430A" w:rsidP="00F0430A">
      <w:pPr>
        <w:pStyle w:val="a3"/>
        <w:tabs>
          <w:tab w:val="left" w:pos="1260"/>
        </w:tabs>
        <w:spacing w:before="0" w:beforeAutospacing="0" w:after="0" w:afterAutospacing="0"/>
        <w:ind w:left="5103"/>
        <w:rPr>
          <w:rFonts w:eastAsia="Calibri"/>
          <w:lang w:val="uk-UA"/>
        </w:rPr>
      </w:pPr>
    </w:p>
    <w:p w14:paraId="3AB54355" w14:textId="55806F5D" w:rsidR="00B15D37" w:rsidRPr="00CF1D03"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CF1D03">
        <w:rPr>
          <w:rFonts w:ascii="Times New Roman" w:eastAsia="Times New Roman" w:hAnsi="Times New Roman" w:cs="Times New Roman"/>
          <w:b/>
          <w:bCs/>
          <w:color w:val="333333"/>
          <w:sz w:val="24"/>
          <w:szCs w:val="24"/>
          <w:lang w:val="uk-UA" w:eastAsia="ru-RU"/>
        </w:rPr>
        <w:t>УМОВИ</w:t>
      </w:r>
      <w:r w:rsidRPr="00CF1D03">
        <w:rPr>
          <w:rFonts w:ascii="Times New Roman" w:eastAsia="Times New Roman" w:hAnsi="Times New Roman" w:cs="Times New Roman"/>
          <w:color w:val="333333"/>
          <w:sz w:val="24"/>
          <w:szCs w:val="24"/>
          <w:lang w:val="uk-UA" w:eastAsia="ru-RU"/>
        </w:rPr>
        <w:br/>
      </w:r>
      <w:r w:rsidRPr="00CF1D03">
        <w:rPr>
          <w:rFonts w:ascii="Times New Roman" w:eastAsia="Times New Roman" w:hAnsi="Times New Roman" w:cs="Times New Roman"/>
          <w:b/>
          <w:bCs/>
          <w:color w:val="333333"/>
          <w:sz w:val="24"/>
          <w:szCs w:val="24"/>
          <w:lang w:val="uk-UA" w:eastAsia="ru-RU"/>
        </w:rPr>
        <w:t>проведення конкурсу</w:t>
      </w:r>
      <w:r w:rsidR="00F0430A" w:rsidRPr="00CF1D03">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w:t>
      </w:r>
      <w:r w:rsidR="00EE3967" w:rsidRPr="00CF1D03">
        <w:rPr>
          <w:rFonts w:ascii="Times New Roman" w:eastAsia="Times New Roman" w:hAnsi="Times New Roman" w:cs="Times New Roman"/>
          <w:b/>
          <w:bCs/>
          <w:color w:val="333333"/>
          <w:sz w:val="24"/>
          <w:szCs w:val="24"/>
          <w:lang w:val="uk-UA" w:eastAsia="ru-RU"/>
        </w:rPr>
        <w:t>Б</w:t>
      </w:r>
      <w:r w:rsidR="007F29EA">
        <w:rPr>
          <w:rFonts w:ascii="Times New Roman" w:eastAsia="Times New Roman" w:hAnsi="Times New Roman" w:cs="Times New Roman"/>
          <w:b/>
          <w:bCs/>
          <w:color w:val="333333"/>
          <w:sz w:val="24"/>
          <w:szCs w:val="24"/>
          <w:lang w:val="uk-UA" w:eastAsia="ru-RU"/>
        </w:rPr>
        <w:t xml:space="preserve">» – </w:t>
      </w:r>
      <w:r w:rsidR="00323791" w:rsidRPr="00323791">
        <w:rPr>
          <w:rFonts w:ascii="Times New Roman" w:eastAsia="Times New Roman" w:hAnsi="Times New Roman" w:cs="Times New Roman"/>
          <w:b/>
          <w:bCs/>
          <w:color w:val="333333"/>
          <w:sz w:val="24"/>
          <w:szCs w:val="24"/>
          <w:lang w:val="uk-UA" w:eastAsia="ru-RU"/>
        </w:rPr>
        <w:t xml:space="preserve">завідувача </w:t>
      </w:r>
      <w:r w:rsidR="009C6888">
        <w:rPr>
          <w:rFonts w:ascii="Times New Roman" w:eastAsia="Times New Roman" w:hAnsi="Times New Roman" w:cs="Times New Roman"/>
          <w:b/>
          <w:bCs/>
          <w:color w:val="333333"/>
          <w:sz w:val="24"/>
          <w:szCs w:val="24"/>
          <w:lang w:val="uk-UA" w:eastAsia="ru-RU"/>
        </w:rPr>
        <w:t>Уманського</w:t>
      </w:r>
      <w:r w:rsidR="00323791" w:rsidRPr="00323791">
        <w:rPr>
          <w:rFonts w:ascii="Times New Roman" w:eastAsia="Times New Roman" w:hAnsi="Times New Roman" w:cs="Times New Roman"/>
          <w:b/>
          <w:bCs/>
          <w:color w:val="333333"/>
          <w:sz w:val="24"/>
          <w:szCs w:val="24"/>
          <w:lang w:val="uk-UA" w:eastAsia="ru-RU"/>
        </w:rPr>
        <w:t xml:space="preserve"> сектору </w:t>
      </w:r>
      <w:r w:rsidR="009F19AF">
        <w:rPr>
          <w:rFonts w:ascii="Times New Roman" w:eastAsia="Times New Roman" w:hAnsi="Times New Roman" w:cs="Times New Roman"/>
          <w:b/>
          <w:bCs/>
          <w:color w:val="333333"/>
          <w:sz w:val="24"/>
          <w:szCs w:val="24"/>
          <w:lang w:val="uk-UA" w:eastAsia="ru-RU"/>
        </w:rPr>
        <w:t xml:space="preserve">– </w:t>
      </w:r>
      <w:r w:rsidR="00323791" w:rsidRPr="00323791">
        <w:rPr>
          <w:rFonts w:ascii="Times New Roman" w:eastAsia="Times New Roman" w:hAnsi="Times New Roman" w:cs="Times New Roman"/>
          <w:b/>
          <w:bCs/>
          <w:color w:val="333333"/>
          <w:sz w:val="24"/>
          <w:szCs w:val="24"/>
          <w:lang w:val="uk-UA" w:eastAsia="ru-RU"/>
        </w:rPr>
        <w:t xml:space="preserve"> старшого державного інспектора з енергетичного нагляду Управління Держенергонагляду у </w:t>
      </w:r>
      <w:r w:rsidR="009C6888">
        <w:rPr>
          <w:rFonts w:ascii="Times New Roman" w:eastAsia="Times New Roman" w:hAnsi="Times New Roman" w:cs="Times New Roman"/>
          <w:b/>
          <w:bCs/>
          <w:color w:val="333333"/>
          <w:sz w:val="24"/>
          <w:szCs w:val="24"/>
          <w:lang w:val="uk-UA" w:eastAsia="ru-RU"/>
        </w:rPr>
        <w:t>Черкаській</w:t>
      </w:r>
      <w:r w:rsidR="00323791" w:rsidRPr="00323791">
        <w:rPr>
          <w:rFonts w:ascii="Times New Roman" w:eastAsia="Times New Roman" w:hAnsi="Times New Roman" w:cs="Times New Roman"/>
          <w:b/>
          <w:bCs/>
          <w:color w:val="333333"/>
          <w:sz w:val="24"/>
          <w:szCs w:val="24"/>
          <w:lang w:val="uk-UA" w:eastAsia="ru-RU"/>
        </w:rPr>
        <w:t xml:space="preserve"> області</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CF1D03" w14:paraId="241F4472" w14:textId="7777777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14:paraId="56E4D72A" w14:textId="77777777" w:rsidR="00B15D37" w:rsidRPr="00CF1D03"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2" w:name="n766"/>
            <w:bookmarkEnd w:id="2"/>
            <w:r w:rsidRPr="00CF1D03">
              <w:rPr>
                <w:rFonts w:ascii="Times New Roman" w:eastAsia="Times New Roman" w:hAnsi="Times New Roman" w:cs="Times New Roman"/>
                <w:sz w:val="24"/>
                <w:szCs w:val="24"/>
                <w:lang w:val="uk-UA" w:eastAsia="ru-RU"/>
              </w:rPr>
              <w:t>Загальні умови</w:t>
            </w:r>
          </w:p>
        </w:tc>
      </w:tr>
      <w:tr w:rsidR="00B15D37" w:rsidRPr="003A4DB9" w14:paraId="79DA5962"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5E918940" w14:textId="77777777" w:rsidR="00B15D37" w:rsidRPr="00B54E4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0F520E">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14:paraId="5DC00A10" w14:textId="77777777" w:rsidR="00241D49" w:rsidRPr="0012453C" w:rsidRDefault="00241D49" w:rsidP="00241D49">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 </w:t>
            </w:r>
          </w:p>
          <w:p w14:paraId="2B4EEB18" w14:textId="77777777" w:rsidR="00241D49" w:rsidRPr="0012453C" w:rsidRDefault="00241D49" w:rsidP="00241D49">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14:paraId="0D9DC50C" w14:textId="77777777" w:rsidR="00241D49" w:rsidRPr="0012453C" w:rsidRDefault="00241D49" w:rsidP="00241D49">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2453C">
              <w:rPr>
                <w:rFonts w:ascii="Times New Roman" w:eastAsia="Times New Roman" w:hAnsi="Times New Roman" w:cs="Times New Roman"/>
                <w:sz w:val="24"/>
                <w:szCs w:val="24"/>
                <w:lang w:val="uk-UA" w:eastAsia="ru-RU"/>
              </w:rPr>
              <w:t>категорійності</w:t>
            </w:r>
            <w:proofErr w:type="spellEnd"/>
            <w:r w:rsidRPr="0012453C">
              <w:rPr>
                <w:rFonts w:ascii="Times New Roman" w:eastAsia="Times New Roman" w:hAnsi="Times New Roman" w:cs="Times New Roman"/>
                <w:sz w:val="24"/>
                <w:szCs w:val="24"/>
                <w:lang w:val="uk-UA" w:eastAsia="ru-RU"/>
              </w:rPr>
              <w:t xml:space="preserve"> споживачів та їх струмоприймачів; </w:t>
            </w:r>
          </w:p>
          <w:p w14:paraId="789D2237" w14:textId="77777777" w:rsidR="00241D49" w:rsidRDefault="00241D49" w:rsidP="00241D49">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w:t>
            </w:r>
            <w:r>
              <w:rPr>
                <w:rFonts w:ascii="Times New Roman" w:eastAsia="Times New Roman" w:hAnsi="Times New Roman" w:cs="Times New Roman"/>
                <w:sz w:val="24"/>
                <w:szCs w:val="24"/>
                <w:lang w:val="uk-UA" w:eastAsia="ru-RU"/>
              </w:rPr>
              <w:t>з надійності електропостачання;</w:t>
            </w:r>
          </w:p>
          <w:p w14:paraId="3F369569" w14:textId="77777777" w:rsidR="00241D49" w:rsidRPr="00FD5BF7" w:rsidRDefault="00241D49" w:rsidP="00241D49">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FD5BF7">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FD5BF7">
              <w:rPr>
                <w:rFonts w:ascii="Times New Roman" w:eastAsia="Times New Roman" w:hAnsi="Times New Roman" w:cs="Times New Roman"/>
                <w:sz w:val="24"/>
                <w:szCs w:val="24"/>
                <w:lang w:val="uk-UA" w:eastAsia="ru-RU"/>
              </w:rPr>
              <w:t>оперативно</w:t>
            </w:r>
            <w:proofErr w:type="spellEnd"/>
            <w:r w:rsidRPr="00FD5BF7">
              <w:rPr>
                <w:rFonts w:ascii="Times New Roman" w:eastAsia="Times New Roman" w:hAnsi="Times New Roman" w:cs="Times New Roman"/>
                <w:sz w:val="24"/>
                <w:szCs w:val="24"/>
                <w:lang w:val="uk-UA" w:eastAsia="ru-RU"/>
              </w:rPr>
              <w:t xml:space="preserve">-технологічне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нормативно-технічних документів з питань технічної експлуатації електричних станцій і мереж, технічного стану електричних установок і мереж, участь у перевірці знань; </w:t>
            </w:r>
          </w:p>
          <w:p w14:paraId="2C0EB9AF" w14:textId="77777777" w:rsidR="00241D49" w:rsidRPr="0012453C" w:rsidRDefault="00241D49" w:rsidP="00241D49">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нормативно-технічними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2453C">
              <w:rPr>
                <w:rFonts w:ascii="Times New Roman" w:eastAsia="Times New Roman" w:hAnsi="Times New Roman" w:cs="Times New Roman"/>
                <w:sz w:val="24"/>
                <w:szCs w:val="24"/>
                <w:lang w:val="uk-UA" w:eastAsia="ru-RU"/>
              </w:rPr>
              <w:t>електропостачальником</w:t>
            </w:r>
            <w:proofErr w:type="spellEnd"/>
            <w:r w:rsidRPr="0012453C">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 </w:t>
            </w:r>
          </w:p>
          <w:p w14:paraId="4BF62E90" w14:textId="77777777" w:rsidR="00241D49" w:rsidRPr="0012453C" w:rsidRDefault="00241D49" w:rsidP="00241D49">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lastRenderedPageBreak/>
              <w:t>дотриманням особливого режиму відключення та/або обмеження електропостачання захищених споживачів;</w:t>
            </w:r>
          </w:p>
          <w:p w14:paraId="3E6528CC" w14:textId="77777777" w:rsidR="00241D49" w:rsidRPr="0012453C" w:rsidRDefault="00241D49" w:rsidP="00241D49">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забезпеченням належного технічного стану елементів обладнання системної протиаварійної автоматики, встановлених у учасників ринку (у тому числі споживачів).</w:t>
            </w:r>
          </w:p>
          <w:p w14:paraId="49DAF5D2" w14:textId="77777777" w:rsidR="00241D49" w:rsidRPr="0012453C" w:rsidRDefault="00241D49" w:rsidP="00241D49">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Забезпечує організацію та здійснення державного нагляду за суб’єктами в</w:t>
            </w:r>
            <w:r>
              <w:rPr>
                <w:rFonts w:ascii="Times New Roman" w:eastAsia="Times New Roman" w:hAnsi="Times New Roman" w:cs="Times New Roman"/>
                <w:sz w:val="24"/>
                <w:szCs w:val="24"/>
                <w:lang w:val="uk-UA" w:eastAsia="ru-RU"/>
              </w:rPr>
              <w:t>ідносин у сфері теплопостачання</w:t>
            </w:r>
            <w:r w:rsidRPr="0012453C">
              <w:rPr>
                <w:rFonts w:ascii="Times New Roman" w:eastAsia="Times New Roman" w:hAnsi="Times New Roman" w:cs="Times New Roman"/>
                <w:sz w:val="24"/>
                <w:szCs w:val="24"/>
                <w:lang w:val="uk-UA" w:eastAsia="ru-RU"/>
              </w:rPr>
              <w:t xml:space="preserve"> у частині: </w:t>
            </w:r>
          </w:p>
          <w:p w14:paraId="70155FB7" w14:textId="77777777" w:rsidR="00241D49" w:rsidRPr="0012453C" w:rsidRDefault="00241D49" w:rsidP="00241D49">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2453C">
              <w:rPr>
                <w:rFonts w:ascii="Times New Roman" w:eastAsia="Times New Roman" w:hAnsi="Times New Roman" w:cs="Times New Roman"/>
                <w:sz w:val="24"/>
                <w:szCs w:val="24"/>
                <w:lang w:val="uk-UA" w:eastAsia="ru-RU"/>
              </w:rPr>
              <w:t>тепловикористальних</w:t>
            </w:r>
            <w:proofErr w:type="spellEnd"/>
            <w:r w:rsidRPr="0012453C">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14:paraId="7F05D4EE" w14:textId="77777777" w:rsidR="00241D49" w:rsidRPr="0012453C" w:rsidRDefault="00241D49" w:rsidP="00241D49">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дотримання вимог нормативно-правових і нормативно-технічних актів, норм і правил з питань технічного стану теплових, </w:t>
            </w:r>
            <w:proofErr w:type="spellStart"/>
            <w:r w:rsidRPr="0012453C">
              <w:rPr>
                <w:rFonts w:ascii="Times New Roman" w:eastAsia="Times New Roman" w:hAnsi="Times New Roman" w:cs="Times New Roman"/>
                <w:sz w:val="24"/>
                <w:szCs w:val="24"/>
                <w:lang w:val="uk-UA" w:eastAsia="ru-RU"/>
              </w:rPr>
              <w:t>тепловикористальних</w:t>
            </w:r>
            <w:proofErr w:type="spellEnd"/>
            <w:r w:rsidRPr="0012453C">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14:paraId="1DC6AC91" w14:textId="77777777" w:rsidR="00241D49" w:rsidRPr="0012453C" w:rsidRDefault="00241D49" w:rsidP="00241D49">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14:paraId="69D70520" w14:textId="77777777" w:rsidR="00241D49" w:rsidRPr="0012453C" w:rsidRDefault="00241D49" w:rsidP="00241D49">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 </w:t>
            </w:r>
          </w:p>
          <w:p w14:paraId="78EC7D48" w14:textId="77777777" w:rsidR="00241D49" w:rsidRPr="0012453C" w:rsidRDefault="00241D49" w:rsidP="00241D49">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Здійснює в установленому порядку оцінювання результатів службової діяльності державних службо</w:t>
            </w:r>
            <w:r>
              <w:rPr>
                <w:rFonts w:ascii="Times New Roman" w:eastAsia="Times New Roman" w:hAnsi="Times New Roman" w:cs="Times New Roman"/>
                <w:sz w:val="24"/>
                <w:szCs w:val="24"/>
                <w:lang w:val="uk-UA" w:eastAsia="ru-RU"/>
              </w:rPr>
              <w:t>вців с</w:t>
            </w:r>
            <w:r w:rsidRPr="0012453C">
              <w:rPr>
                <w:rFonts w:ascii="Times New Roman" w:eastAsia="Times New Roman" w:hAnsi="Times New Roman" w:cs="Times New Roman"/>
                <w:sz w:val="24"/>
                <w:szCs w:val="24"/>
                <w:lang w:val="uk-UA" w:eastAsia="ru-RU"/>
              </w:rPr>
              <w:t>ектору. Готує і вносить керівництву обґрунтоване подання про заохочення і притягнення до дисциплінарної відповідальності працівників Сектору.</w:t>
            </w:r>
          </w:p>
          <w:p w14:paraId="238F1923" w14:textId="77777777" w:rsidR="00241D49" w:rsidRPr="0012453C" w:rsidRDefault="00241D49" w:rsidP="00241D49">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Організовує, забезпечує та контролює виконання в</w:t>
            </w:r>
            <w:r>
              <w:rPr>
                <w:rFonts w:ascii="Times New Roman" w:eastAsia="Times New Roman" w:hAnsi="Times New Roman" w:cs="Times New Roman"/>
                <w:sz w:val="24"/>
                <w:szCs w:val="24"/>
                <w:lang w:val="uk-UA" w:eastAsia="ru-RU"/>
              </w:rPr>
              <w:t xml:space="preserve"> </w:t>
            </w:r>
            <w:r w:rsidRPr="0012453C">
              <w:rPr>
                <w:rFonts w:ascii="Times New Roman" w:eastAsia="Times New Roman" w:hAnsi="Times New Roman" w:cs="Times New Roman"/>
                <w:sz w:val="24"/>
                <w:szCs w:val="24"/>
                <w:lang w:val="uk-UA" w:eastAsia="ru-RU"/>
              </w:rPr>
              <w:t xml:space="preserve">установлені строки доручень начальника Управління та керівника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xml:space="preserve">, несе персональну відповідальність за стан виконавської дисципліни у </w:t>
            </w:r>
            <w:r>
              <w:rPr>
                <w:rFonts w:ascii="Times New Roman" w:eastAsia="Times New Roman" w:hAnsi="Times New Roman" w:cs="Times New Roman"/>
                <w:sz w:val="24"/>
                <w:szCs w:val="24"/>
                <w:lang w:val="uk-UA" w:eastAsia="ru-RU"/>
              </w:rPr>
              <w:t>с</w:t>
            </w:r>
            <w:r w:rsidRPr="0012453C">
              <w:rPr>
                <w:rFonts w:ascii="Times New Roman" w:eastAsia="Times New Roman" w:hAnsi="Times New Roman" w:cs="Times New Roman"/>
                <w:sz w:val="24"/>
                <w:szCs w:val="24"/>
                <w:lang w:val="uk-UA" w:eastAsia="ru-RU"/>
              </w:rPr>
              <w:t>екторі.</w:t>
            </w:r>
          </w:p>
          <w:p w14:paraId="43C40F6F" w14:textId="77777777" w:rsidR="00241D49" w:rsidRPr="0012453C" w:rsidRDefault="00241D49" w:rsidP="00241D49">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Співпрацює з керівниками інших самостійних структурних підрозділів, територіальних органів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з місцевими державними адміністраціями, іншими органами державної влади з питань, що потребують спільного вирішення.</w:t>
            </w:r>
          </w:p>
          <w:p w14:paraId="5390E63F" w14:textId="77777777" w:rsidR="00241D49" w:rsidRPr="0012453C" w:rsidRDefault="00241D49" w:rsidP="00241D49">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Розробляє і здійснює заходи щодо поліпшення організації та підвищення ефективності роботи </w:t>
            </w:r>
            <w:r>
              <w:rPr>
                <w:rFonts w:ascii="Times New Roman" w:eastAsia="Times New Roman" w:hAnsi="Times New Roman" w:cs="Times New Roman"/>
                <w:sz w:val="24"/>
                <w:szCs w:val="24"/>
                <w:lang w:val="uk-UA" w:eastAsia="ru-RU"/>
              </w:rPr>
              <w:lastRenderedPageBreak/>
              <w:t>с</w:t>
            </w:r>
            <w:r w:rsidRPr="0012453C">
              <w:rPr>
                <w:rFonts w:ascii="Times New Roman" w:eastAsia="Times New Roman" w:hAnsi="Times New Roman" w:cs="Times New Roman"/>
                <w:sz w:val="24"/>
                <w:szCs w:val="24"/>
                <w:lang w:val="uk-UA" w:eastAsia="ru-RU"/>
              </w:rPr>
              <w:t xml:space="preserve">ектору. Забезпечує додержання працівниками </w:t>
            </w:r>
            <w:r>
              <w:rPr>
                <w:rFonts w:ascii="Times New Roman" w:eastAsia="Times New Roman" w:hAnsi="Times New Roman" w:cs="Times New Roman"/>
                <w:sz w:val="24"/>
                <w:szCs w:val="24"/>
                <w:lang w:val="uk-UA" w:eastAsia="ru-RU"/>
              </w:rPr>
              <w:t>с</w:t>
            </w:r>
            <w:r w:rsidRPr="0012453C">
              <w:rPr>
                <w:rFonts w:ascii="Times New Roman" w:eastAsia="Times New Roman" w:hAnsi="Times New Roman" w:cs="Times New Roman"/>
                <w:sz w:val="24"/>
                <w:szCs w:val="24"/>
                <w:lang w:val="uk-UA" w:eastAsia="ru-RU"/>
              </w:rPr>
              <w:t>ектору правил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 вживає заходів щодо недопущення та врегулювання конфлікту інтересів у разі його виникнення, а також здійснює розподіл обов’язків між працівниками.</w:t>
            </w:r>
          </w:p>
          <w:p w14:paraId="23CC90C3" w14:textId="78DDDF51" w:rsidR="00B15D37" w:rsidRPr="0012453C" w:rsidRDefault="00241D49" w:rsidP="00241D49">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Здійснює інші функції в межах компетенції і за дорученням начальника Управління, керівника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xml:space="preserve">, у тому числі проводить </w:t>
            </w:r>
            <w:proofErr w:type="spellStart"/>
            <w:r w:rsidRPr="0012453C">
              <w:rPr>
                <w:rFonts w:ascii="Times New Roman" w:eastAsia="Times New Roman" w:hAnsi="Times New Roman" w:cs="Times New Roman"/>
                <w:sz w:val="24"/>
                <w:szCs w:val="24"/>
                <w:lang w:val="uk-UA" w:eastAsia="ru-RU"/>
              </w:rPr>
              <w:t>моніторинги</w:t>
            </w:r>
            <w:proofErr w:type="spellEnd"/>
            <w:r w:rsidRPr="0012453C">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2453C">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w:t>
            </w:r>
            <w:r>
              <w:rPr>
                <w:rFonts w:ascii="Times New Roman" w:eastAsia="Times New Roman" w:hAnsi="Times New Roman" w:cs="Times New Roman"/>
                <w:sz w:val="24"/>
                <w:szCs w:val="24"/>
                <w:lang w:val="uk-UA" w:eastAsia="ru-RU"/>
              </w:rPr>
              <w:t>тощо, збір, аналіз та підготовку</w:t>
            </w:r>
            <w:r w:rsidRPr="0012453C">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3A4DB9" w14:paraId="1CB762C8"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8A40EEB" w14:textId="77777777" w:rsidR="00B15D37" w:rsidRPr="005F48A6"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14:paraId="58DD3333" w14:textId="63036BD3" w:rsidR="004F45AD" w:rsidRPr="005F48A6"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П</w:t>
            </w:r>
            <w:r w:rsidR="004F45AD" w:rsidRPr="005F48A6">
              <w:rPr>
                <w:rFonts w:ascii="Times New Roman" w:eastAsia="Times New Roman" w:hAnsi="Times New Roman" w:cs="Times New Roman"/>
                <w:sz w:val="24"/>
                <w:szCs w:val="24"/>
                <w:lang w:val="uk-UA" w:eastAsia="ru-RU"/>
              </w:rPr>
              <w:t xml:space="preserve">осадовий оклад – </w:t>
            </w:r>
            <w:r w:rsidR="008E1DD4">
              <w:rPr>
                <w:rFonts w:ascii="Times New Roman" w:eastAsia="Times New Roman" w:hAnsi="Times New Roman" w:cs="Times New Roman"/>
                <w:sz w:val="24"/>
                <w:szCs w:val="24"/>
                <w:lang w:val="uk-UA" w:eastAsia="ru-RU"/>
              </w:rPr>
              <w:t xml:space="preserve">9 </w:t>
            </w:r>
            <w:r w:rsidR="009F19AF">
              <w:rPr>
                <w:rFonts w:ascii="Times New Roman" w:eastAsia="Times New Roman" w:hAnsi="Times New Roman" w:cs="Times New Roman"/>
                <w:sz w:val="24"/>
                <w:szCs w:val="24"/>
                <w:lang w:val="uk-UA" w:eastAsia="ru-RU"/>
              </w:rPr>
              <w:t>450</w:t>
            </w:r>
            <w:r w:rsidR="00D63636">
              <w:rPr>
                <w:rFonts w:ascii="Times New Roman" w:eastAsia="Times New Roman" w:hAnsi="Times New Roman" w:cs="Times New Roman"/>
                <w:sz w:val="24"/>
                <w:szCs w:val="24"/>
                <w:lang w:val="uk-UA" w:eastAsia="ru-RU"/>
              </w:rPr>
              <w:t xml:space="preserve"> грн</w:t>
            </w:r>
            <w:r w:rsidR="004F45AD" w:rsidRPr="005F48A6">
              <w:rPr>
                <w:rFonts w:ascii="Times New Roman" w:eastAsia="Times New Roman" w:hAnsi="Times New Roman" w:cs="Times New Roman"/>
                <w:sz w:val="24"/>
                <w:szCs w:val="24"/>
                <w:lang w:val="uk-UA" w:eastAsia="ru-RU"/>
              </w:rPr>
              <w:t>;</w:t>
            </w:r>
          </w:p>
          <w:p w14:paraId="3901FF99" w14:textId="77777777" w:rsidR="00B15D37" w:rsidRPr="005F48A6"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5F48A6">
              <w:rPr>
                <w:rFonts w:ascii="Times New Roman" w:eastAsia="Times New Roman" w:hAnsi="Times New Roman" w:cs="Times New Roman"/>
                <w:sz w:val="24"/>
                <w:szCs w:val="24"/>
                <w:lang w:val="uk-UA" w:eastAsia="ru-RU"/>
              </w:rPr>
              <w:t>ержавних органів» (зі змінами))</w:t>
            </w:r>
          </w:p>
        </w:tc>
      </w:tr>
      <w:tr w:rsidR="00B15D37" w:rsidRPr="00B54E49" w14:paraId="5D4DD53B" w14:textId="77777777" w:rsidTr="00DB77DE">
        <w:trPr>
          <w:trHeight w:val="567"/>
        </w:trPr>
        <w:tc>
          <w:tcPr>
            <w:tcW w:w="3470" w:type="dxa"/>
            <w:gridSpan w:val="2"/>
            <w:tcBorders>
              <w:top w:val="single" w:sz="2" w:space="0" w:color="auto"/>
              <w:left w:val="single" w:sz="2" w:space="0" w:color="auto"/>
              <w:bottom w:val="single" w:sz="2" w:space="0" w:color="auto"/>
              <w:right w:val="single" w:sz="2" w:space="0" w:color="auto"/>
            </w:tcBorders>
            <w:hideMark/>
          </w:tcPr>
          <w:p w14:paraId="42555019" w14:textId="77777777" w:rsidR="00B15D37" w:rsidRPr="002A4043" w:rsidRDefault="00B15D37"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14:paraId="5DEEA6D2" w14:textId="69EC1EAF" w:rsidR="00104071" w:rsidRPr="002A4043" w:rsidRDefault="006217BE"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14:paraId="2782BB07" w14:textId="242E633C" w:rsidR="00B15D37" w:rsidRPr="002A4043" w:rsidRDefault="00104071"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C84FC4">
              <w:rPr>
                <w:rFonts w:ascii="Times New Roman" w:eastAsia="Times New Roman" w:hAnsi="Times New Roman" w:cs="Times New Roman"/>
                <w:sz w:val="24"/>
                <w:szCs w:val="24"/>
                <w:lang w:val="uk-UA" w:eastAsia="ru-RU"/>
              </w:rPr>
              <w:t xml:space="preserve">повторного призначення без </w:t>
            </w:r>
            <w:proofErr w:type="spellStart"/>
            <w:r w:rsidR="00C84FC4">
              <w:rPr>
                <w:rFonts w:ascii="Times New Roman" w:eastAsia="Times New Roman" w:hAnsi="Times New Roman" w:cs="Times New Roman"/>
                <w:sz w:val="24"/>
                <w:szCs w:val="24"/>
                <w:lang w:val="uk-UA" w:eastAsia="ru-RU"/>
              </w:rPr>
              <w:t>обов</w:t>
            </w:r>
            <w:proofErr w:type="spellEnd"/>
            <w:r w:rsidR="00C84FC4" w:rsidRPr="009F19AF">
              <w:rPr>
                <w:rFonts w:ascii="Times New Roman" w:eastAsia="Times New Roman" w:hAnsi="Times New Roman" w:cs="Times New Roman"/>
                <w:sz w:val="24"/>
                <w:szCs w:val="24"/>
                <w:lang w:eastAsia="ru-RU"/>
              </w:rPr>
              <w:t>’</w:t>
            </w:r>
            <w:proofErr w:type="spellStart"/>
            <w:r w:rsidRPr="002A4043">
              <w:rPr>
                <w:rFonts w:ascii="Times New Roman" w:eastAsia="Times New Roman" w:hAnsi="Times New Roman" w:cs="Times New Roman"/>
                <w:sz w:val="24"/>
                <w:szCs w:val="24"/>
                <w:lang w:val="uk-UA" w:eastAsia="ru-RU"/>
              </w:rPr>
              <w:t>язко</w:t>
            </w:r>
            <w:r w:rsidR="006217BE">
              <w:rPr>
                <w:rFonts w:ascii="Times New Roman" w:eastAsia="Times New Roman" w:hAnsi="Times New Roman" w:cs="Times New Roman"/>
                <w:sz w:val="24"/>
                <w:szCs w:val="24"/>
                <w:lang w:val="uk-UA" w:eastAsia="ru-RU"/>
              </w:rPr>
              <w:t>вого</w:t>
            </w:r>
            <w:proofErr w:type="spellEnd"/>
            <w:r w:rsidR="006217BE">
              <w:rPr>
                <w:rFonts w:ascii="Times New Roman" w:eastAsia="Times New Roman" w:hAnsi="Times New Roman" w:cs="Times New Roman"/>
                <w:sz w:val="24"/>
                <w:szCs w:val="24"/>
                <w:lang w:val="uk-UA" w:eastAsia="ru-RU"/>
              </w:rPr>
              <w:t xml:space="preserve"> проведення конкурсу щороку</w:t>
            </w:r>
          </w:p>
        </w:tc>
      </w:tr>
      <w:tr w:rsidR="001C3886" w:rsidRPr="00B54E49" w14:paraId="603A43ED"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0DFA2289" w14:textId="77777777" w:rsidR="001C3886" w:rsidRPr="00AD19B1" w:rsidRDefault="001C3886"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14:paraId="500B9D0A"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14:paraId="6894561B"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F92A33">
              <w:rPr>
                <w:rFonts w:ascii="Times New Roman" w:eastAsia="Times New Roman" w:hAnsi="Times New Roman" w:cs="Times New Roman"/>
                <w:sz w:val="24"/>
                <w:szCs w:val="24"/>
                <w:lang w:val="uk-UA" w:eastAsia="ru-RU"/>
              </w:rPr>
              <w:t xml:space="preserve">  25 березня 2016 року № 246 (зі</w:t>
            </w:r>
            <w:r w:rsidRPr="00AD19B1">
              <w:rPr>
                <w:rFonts w:ascii="Times New Roman" w:eastAsia="Times New Roman" w:hAnsi="Times New Roman" w:cs="Times New Roman"/>
                <w:sz w:val="24"/>
                <w:szCs w:val="24"/>
                <w:lang w:val="uk-UA" w:eastAsia="ru-RU"/>
              </w:rPr>
              <w:t xml:space="preserve"> змінами);</w:t>
            </w:r>
          </w:p>
          <w:p w14:paraId="1DB842F8"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2) резюме за формою згідно з додатком 2</w:t>
            </w:r>
            <w:r w:rsidRPr="00AD19B1">
              <w:rPr>
                <w:rFonts w:ascii="Times New Roman" w:eastAsia="Times New Roman" w:hAnsi="Times New Roman" w:cs="Times New Roman"/>
                <w:sz w:val="24"/>
                <w:szCs w:val="24"/>
                <w:vertAlign w:val="superscript"/>
                <w:lang w:val="uk-UA" w:eastAsia="ru-RU"/>
              </w:rPr>
              <w:t>1</w:t>
            </w:r>
            <w:r w:rsidRPr="00AD19B1">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F92A33">
              <w:rPr>
                <w:rFonts w:ascii="Times New Roman" w:eastAsia="Times New Roman" w:hAnsi="Times New Roman" w:cs="Times New Roman"/>
                <w:sz w:val="24"/>
                <w:szCs w:val="24"/>
                <w:lang w:val="uk-UA" w:eastAsia="ru-RU"/>
              </w:rPr>
              <w:t>д 25 березня 2016 року № 246 (зі</w:t>
            </w:r>
            <w:r w:rsidRPr="00AD19B1">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14:paraId="40EDF2EB"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прізвище, ім’я, по батькові кандидата;</w:t>
            </w:r>
          </w:p>
          <w:p w14:paraId="038CFE83"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14:paraId="530C9299"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14:paraId="2460DB77" w14:textId="77777777" w:rsidR="001C3886" w:rsidRPr="00AD19B1" w:rsidRDefault="00DD49A3"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w:t>
            </w:r>
            <w:r w:rsidR="00644C1D">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підтвердження рівня вільного володіння державною мовою;</w:t>
            </w:r>
          </w:p>
          <w:p w14:paraId="32D01C94"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74E52404"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1C3886" w:rsidRPr="00AD19B1">
              <w:rPr>
                <w:rFonts w:ascii="Times New Roman" w:eastAsia="Times New Roman" w:hAnsi="Times New Roman" w:cs="Times New Roman"/>
                <w:sz w:val="24"/>
                <w:szCs w:val="24"/>
                <w:lang w:val="uk-UA" w:eastAsia="ru-RU"/>
              </w:rPr>
              <w:t>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15A3ADE2"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Подача додатків до заяви не є обов’язковою.</w:t>
            </w:r>
          </w:p>
          <w:p w14:paraId="43527777"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AD19B1">
              <w:rPr>
                <w:rFonts w:ascii="Times New Roman" w:eastAsia="Times New Roman" w:hAnsi="Times New Roman" w:cs="Times New Roman"/>
                <w:sz w:val="24"/>
                <w:szCs w:val="24"/>
                <w:lang w:val="uk-UA" w:eastAsia="ru-RU"/>
              </w:rPr>
              <w:t>компетентностей</w:t>
            </w:r>
            <w:proofErr w:type="spellEnd"/>
            <w:r w:rsidRPr="00AD19B1">
              <w:rPr>
                <w:rFonts w:ascii="Times New Roman" w:eastAsia="Times New Roman" w:hAnsi="Times New Roman" w:cs="Times New Roman"/>
                <w:sz w:val="24"/>
                <w:szCs w:val="24"/>
                <w:lang w:val="uk-UA" w:eastAsia="ru-RU"/>
              </w:rPr>
              <w:t>, репутації (характеристики, рекомен</w:t>
            </w:r>
            <w:r w:rsidR="00F84BF3" w:rsidRPr="00AD19B1">
              <w:rPr>
                <w:rFonts w:ascii="Times New Roman" w:eastAsia="Times New Roman" w:hAnsi="Times New Roman" w:cs="Times New Roman"/>
                <w:sz w:val="24"/>
                <w:szCs w:val="24"/>
                <w:lang w:val="uk-UA" w:eastAsia="ru-RU"/>
              </w:rPr>
              <w:t>дації, наукові публікації тощо)</w:t>
            </w:r>
            <w:r w:rsidR="006301E9">
              <w:rPr>
                <w:rFonts w:ascii="Times New Roman" w:eastAsia="Times New Roman" w:hAnsi="Times New Roman" w:cs="Times New Roman"/>
                <w:sz w:val="24"/>
                <w:szCs w:val="24"/>
                <w:lang w:val="uk-UA" w:eastAsia="ru-RU"/>
              </w:rPr>
              <w:t>.</w:t>
            </w:r>
          </w:p>
          <w:p w14:paraId="4DBDEB31"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14:paraId="09F4A446"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14:paraId="300F90FF" w14:textId="2A3E0AED" w:rsidR="001C3886" w:rsidRPr="00AD19B1" w:rsidRDefault="00E40ECB" w:rsidP="009F19A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730799">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 xml:space="preserve"> </w:t>
            </w:r>
            <w:r w:rsidR="00730799">
              <w:rPr>
                <w:rFonts w:ascii="Times New Roman" w:eastAsia="Times New Roman" w:hAnsi="Times New Roman" w:cs="Times New Roman"/>
                <w:sz w:val="24"/>
                <w:szCs w:val="24"/>
                <w:lang w:val="uk-UA" w:eastAsia="ru-RU"/>
              </w:rPr>
              <w:t>липня</w:t>
            </w:r>
            <w:r>
              <w:rPr>
                <w:rFonts w:ascii="Times New Roman" w:eastAsia="Times New Roman" w:hAnsi="Times New Roman" w:cs="Times New Roman"/>
                <w:sz w:val="24"/>
                <w:szCs w:val="24"/>
                <w:lang w:val="uk-UA" w:eastAsia="ru-RU"/>
              </w:rPr>
              <w:t xml:space="preserve"> 2021 року включно</w:t>
            </w:r>
          </w:p>
        </w:tc>
      </w:tr>
      <w:tr w:rsidR="001C3886" w:rsidRPr="00B54E49" w14:paraId="26AB10BB" w14:textId="7777777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14:paraId="364CCB44" w14:textId="77777777" w:rsidR="001C3886" w:rsidRPr="00117B40" w:rsidRDefault="00275CF1" w:rsidP="00C543C2">
            <w:pPr>
              <w:pStyle w:val="a8"/>
              <w:ind w:left="142" w:right="63"/>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Додаткові </w:t>
            </w:r>
            <w:r w:rsidR="001C3886" w:rsidRPr="00117B40">
              <w:rPr>
                <w:rFonts w:ascii="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14:paraId="3B1EC652" w14:textId="77777777" w:rsidR="001C3886" w:rsidRPr="00117B40" w:rsidRDefault="009C48AC" w:rsidP="007B0B4F">
            <w:pPr>
              <w:spacing w:after="0" w:line="240" w:lineRule="auto"/>
              <w:ind w:left="176"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З</w:t>
            </w:r>
            <w:r w:rsidR="001C3886" w:rsidRPr="00117B40">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B54E49" w14:paraId="121EED1B" w14:textId="7777777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14:paraId="0BADA0B7" w14:textId="77777777" w:rsidR="00C543C2"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 xml:space="preserve">Дата і час початку проведення тестування кандидатів. </w:t>
            </w:r>
          </w:p>
          <w:p w14:paraId="1EFB4A99" w14:textId="77777777" w:rsidR="00F91443"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тестування.</w:t>
            </w:r>
          </w:p>
          <w:p w14:paraId="29699950" w14:textId="77777777" w:rsidR="00F91443"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14:paraId="532B61B6" w14:textId="77777777" w:rsidR="001C3886" w:rsidRPr="00B54E49" w:rsidRDefault="00F91443" w:rsidP="00C543C2">
            <w:pPr>
              <w:pStyle w:val="a8"/>
              <w:ind w:left="142" w:right="63"/>
              <w:jc w:val="both"/>
              <w:rPr>
                <w:rFonts w:ascii="Times New Roman" w:hAnsi="Times New Roman" w:cs="Times New Roman"/>
                <w:sz w:val="24"/>
                <w:szCs w:val="24"/>
                <w:highlight w:val="yellow"/>
                <w:lang w:val="uk-UA" w:eastAsia="ru-RU"/>
              </w:rPr>
            </w:pPr>
            <w:r w:rsidRPr="00072AE7">
              <w:rPr>
                <w:rFonts w:ascii="Times New Roman" w:hAnsi="Times New Roman" w:cs="Times New Roman"/>
                <w:sz w:val="24"/>
                <w:szCs w:val="24"/>
                <w:lang w:val="uk-UA" w:eastAsia="ru-RU"/>
              </w:rPr>
              <w:t>Місце або спосіб проведення сп</w:t>
            </w:r>
            <w:r w:rsidR="00275CF1">
              <w:rPr>
                <w:rFonts w:ascii="Times New Roman" w:hAnsi="Times New Roman" w:cs="Times New Roman"/>
                <w:sz w:val="24"/>
                <w:szCs w:val="24"/>
                <w:lang w:val="uk-UA" w:eastAsia="ru-RU"/>
              </w:rPr>
              <w:t>івбесіди з метою визначення суб</w:t>
            </w:r>
            <w:r w:rsidR="00275CF1" w:rsidRPr="009F19AF">
              <w:rPr>
                <w:rFonts w:ascii="Times New Roman" w:hAnsi="Times New Roman" w:cs="Times New Roman"/>
                <w:sz w:val="24"/>
                <w:szCs w:val="24"/>
                <w:lang w:val="uk-UA" w:eastAsia="ru-RU"/>
              </w:rPr>
              <w:t>’</w:t>
            </w:r>
            <w:r w:rsidRPr="00072AE7">
              <w:rPr>
                <w:rFonts w:ascii="Times New Roman" w:hAnsi="Times New Roman" w:cs="Times New Roman"/>
                <w:sz w:val="24"/>
                <w:szCs w:val="24"/>
                <w:lang w:val="uk-UA" w:eastAsia="ru-RU"/>
              </w:rPr>
              <w:t>єктом призначення або керівн</w:t>
            </w:r>
            <w:r w:rsidR="00275CF1">
              <w:rPr>
                <w:rFonts w:ascii="Times New Roman" w:hAnsi="Times New Roman" w:cs="Times New Roman"/>
                <w:sz w:val="24"/>
                <w:szCs w:val="24"/>
                <w:lang w:val="uk-UA" w:eastAsia="ru-RU"/>
              </w:rPr>
              <w:t>иком державної служби переможця </w:t>
            </w:r>
            <w:r w:rsidRPr="00072AE7">
              <w:rPr>
                <w:rFonts w:ascii="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14:paraId="4250602E" w14:textId="77777777" w:rsidR="00026292" w:rsidRPr="00F01A67" w:rsidRDefault="00CC3085" w:rsidP="00026292">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t>19</w:t>
            </w:r>
            <w:r w:rsidR="00E50309">
              <w:rPr>
                <w:rFonts w:ascii="Times New Roman" w:eastAsia="Times New Roman" w:hAnsi="Times New Roman" w:cs="Times New Roman"/>
                <w:sz w:val="24"/>
                <w:szCs w:val="24"/>
                <w:lang w:val="uk-UA" w:eastAsia="ru-RU"/>
              </w:rPr>
              <w:t xml:space="preserve"> </w:t>
            </w:r>
            <w:r w:rsidR="00730799">
              <w:rPr>
                <w:rFonts w:ascii="Times New Roman" w:eastAsia="Times New Roman" w:hAnsi="Times New Roman" w:cs="Times New Roman"/>
                <w:sz w:val="24"/>
                <w:szCs w:val="24"/>
                <w:lang w:val="uk-UA" w:eastAsia="ru-RU"/>
              </w:rPr>
              <w:t>липня</w:t>
            </w:r>
            <w:r w:rsidR="00E50309">
              <w:rPr>
                <w:rFonts w:ascii="Times New Roman" w:eastAsia="Times New Roman" w:hAnsi="Times New Roman" w:cs="Times New Roman"/>
                <w:sz w:val="24"/>
                <w:szCs w:val="24"/>
                <w:lang w:val="uk-UA" w:eastAsia="ru-RU"/>
              </w:rPr>
              <w:t xml:space="preserve"> 2021 року о 10 год. 00 хв.</w:t>
            </w:r>
            <w:r w:rsidR="00026292" w:rsidRPr="0042248F">
              <w:rPr>
                <w:rFonts w:ascii="Times New Roman" w:eastAsia="Times New Roman" w:hAnsi="Times New Roman" w:cs="Times New Roman"/>
                <w:sz w:val="24"/>
                <w:szCs w:val="24"/>
                <w:lang w:val="uk-UA" w:eastAsia="ru-RU"/>
              </w:rPr>
              <w:t xml:space="preserve"> </w:t>
            </w:r>
            <w:r w:rsidR="00E50309">
              <w:rPr>
                <w:rFonts w:ascii="Times New Roman" w:eastAsia="Times New Roman" w:hAnsi="Times New Roman" w:cs="Times New Roman"/>
                <w:sz w:val="24"/>
                <w:szCs w:val="24"/>
                <w:lang w:val="uk-UA" w:eastAsia="ru-RU"/>
              </w:rPr>
              <w:t>–</w:t>
            </w:r>
            <w:r w:rsidR="00026292"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14:paraId="20868F1E" w14:textId="77777777" w:rsidR="00026292" w:rsidRPr="00F01A67" w:rsidRDefault="00026292" w:rsidP="00026292">
            <w:pPr>
              <w:spacing w:after="0" w:line="240" w:lineRule="auto"/>
              <w:ind w:left="176" w:right="132"/>
              <w:jc w:val="both"/>
              <w:rPr>
                <w:rFonts w:ascii="Times New Roman" w:eastAsia="Times New Roman" w:hAnsi="Times New Roman" w:cs="Times New Roman"/>
                <w:sz w:val="24"/>
                <w:szCs w:val="24"/>
                <w:lang w:val="uk-UA" w:eastAsia="ru-RU"/>
              </w:rPr>
            </w:pPr>
          </w:p>
          <w:p w14:paraId="652D3389" w14:textId="77777777" w:rsidR="001C3886" w:rsidRPr="00B54E49" w:rsidRDefault="00207396" w:rsidP="00026292">
            <w:pPr>
              <w:spacing w:after="0" w:line="240" w:lineRule="auto"/>
              <w:ind w:left="176" w:right="132"/>
              <w:jc w:val="both"/>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026292"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026292" w:rsidRPr="00F01A67">
              <w:rPr>
                <w:rFonts w:ascii="Times New Roman" w:eastAsia="Times New Roman" w:hAnsi="Times New Roman" w:cs="Times New Roman"/>
                <w:sz w:val="24"/>
                <w:szCs w:val="24"/>
                <w:lang w:val="uk-UA" w:eastAsia="ru-RU"/>
              </w:rPr>
              <w:t>Webex</w:t>
            </w:r>
            <w:proofErr w:type="spellEnd"/>
          </w:p>
        </w:tc>
      </w:tr>
      <w:tr w:rsidR="001C3886" w:rsidRPr="003A4DB9" w14:paraId="0FBF88C0"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77AF296" w14:textId="77777777" w:rsidR="001C3886" w:rsidRPr="00117B40" w:rsidRDefault="001C3886" w:rsidP="007B0B4F">
            <w:pPr>
              <w:spacing w:before="150" w:after="150" w:line="240" w:lineRule="auto"/>
              <w:ind w:left="142" w:right="63"/>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14:paraId="41F2991C" w14:textId="77777777" w:rsidR="009F19AF" w:rsidRPr="00117B40" w:rsidRDefault="009F19AF" w:rsidP="009F19AF">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14:paraId="52B92CCC" w14:textId="77777777" w:rsidR="001C3886" w:rsidRPr="00117B40" w:rsidRDefault="00117B40"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Волосянський Юрій Миколайович</w:t>
            </w:r>
            <w:r w:rsidR="00791A8A">
              <w:rPr>
                <w:rFonts w:ascii="Times New Roman" w:eastAsia="Times New Roman" w:hAnsi="Times New Roman" w:cs="Times New Roman"/>
                <w:sz w:val="24"/>
                <w:szCs w:val="24"/>
                <w:lang w:val="uk-UA" w:eastAsia="ru-RU"/>
              </w:rPr>
              <w:t>;</w:t>
            </w:r>
          </w:p>
          <w:p w14:paraId="6A597432" w14:textId="77777777"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(044) 204-79-19</w:t>
            </w:r>
            <w:r w:rsidR="00791A8A">
              <w:rPr>
                <w:rFonts w:ascii="Times New Roman" w:eastAsia="Times New Roman" w:hAnsi="Times New Roman" w:cs="Times New Roman"/>
                <w:sz w:val="24"/>
                <w:szCs w:val="24"/>
                <w:lang w:val="uk-UA" w:eastAsia="ru-RU"/>
              </w:rPr>
              <w:t>;</w:t>
            </w:r>
          </w:p>
          <w:p w14:paraId="04CB8BD1" w14:textId="77777777"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en-US" w:eastAsia="ru-RU"/>
              </w:rPr>
              <w:t>k</w:t>
            </w:r>
            <w:r w:rsidRPr="00117B40">
              <w:rPr>
                <w:rFonts w:ascii="Times New Roman" w:eastAsia="Times New Roman" w:hAnsi="Times New Roman" w:cs="Times New Roman"/>
                <w:sz w:val="24"/>
                <w:szCs w:val="24"/>
                <w:lang w:val="uk-UA" w:eastAsia="ru-RU"/>
              </w:rPr>
              <w:t>onkurs_sies@sies.gov.ua</w:t>
            </w:r>
          </w:p>
        </w:tc>
      </w:tr>
      <w:tr w:rsidR="001C3886" w:rsidRPr="00B54E49" w14:paraId="5FC08A67"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41EDED97" w14:textId="77777777" w:rsidR="001C3886" w:rsidRPr="00117B40" w:rsidRDefault="001C3886" w:rsidP="00C0303C">
            <w:pPr>
              <w:spacing w:before="160" w:line="276"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lastRenderedPageBreak/>
              <w:t>Кваліфікаційні вимоги</w:t>
            </w:r>
          </w:p>
        </w:tc>
      </w:tr>
      <w:tr w:rsidR="001C3886" w:rsidRPr="00B54E49" w14:paraId="11540F36"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788A755F"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72C5A330"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14:paraId="23125503" w14:textId="77777777" w:rsidR="009556E0" w:rsidRPr="00117B40"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 xml:space="preserve">Ступінь вищої освіти </w:t>
            </w:r>
            <w:r w:rsidR="009556E0" w:rsidRPr="00117B40">
              <w:rPr>
                <w:rFonts w:ascii="Times New Roman" w:eastAsia="Times New Roman" w:hAnsi="Times New Roman" w:cs="Times New Roman"/>
                <w:sz w:val="24"/>
                <w:szCs w:val="24"/>
                <w:lang w:val="uk-UA" w:eastAsia="ru-RU"/>
              </w:rPr>
              <w:t xml:space="preserve">не нижче магістра </w:t>
            </w:r>
          </w:p>
        </w:tc>
      </w:tr>
      <w:tr w:rsidR="001C3886" w:rsidRPr="00B54E49" w14:paraId="0BAFA2B8"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60D84A28"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64A1BB91"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14:paraId="2BA59E1E" w14:textId="77777777" w:rsidR="001C3886" w:rsidRPr="00117B40"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B54E49" w14:paraId="1FB54DDE" w14:textId="7777777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14:paraId="6C021AB3"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14:paraId="27C7252A"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14:paraId="1DE97189" w14:textId="77777777" w:rsidR="001C3886" w:rsidRPr="00117B40"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Вільне володінн</w:t>
            </w:r>
            <w:r w:rsidR="00F84BF3" w:rsidRPr="00117B40">
              <w:rPr>
                <w:rFonts w:ascii="Times New Roman" w:eastAsia="Times New Roman" w:hAnsi="Times New Roman" w:cs="Times New Roman"/>
                <w:sz w:val="24"/>
                <w:szCs w:val="24"/>
                <w:lang w:val="uk-UA" w:eastAsia="ru-RU"/>
              </w:rPr>
              <w:t>я державною мовою</w:t>
            </w:r>
          </w:p>
        </w:tc>
      </w:tr>
      <w:tr w:rsidR="001C3886" w:rsidRPr="00B54E49" w14:paraId="73E4BBCE" w14:textId="7777777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14:paraId="097900DD"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14:paraId="0222CF24"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14:paraId="0C715C0B" w14:textId="77777777" w:rsidR="001C3886" w:rsidRPr="00117B40"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Не потребує</w:t>
            </w:r>
          </w:p>
        </w:tc>
      </w:tr>
      <w:tr w:rsidR="001C3886" w:rsidRPr="00117B40" w14:paraId="5E7BAE6A"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2905CC4F" w14:textId="77777777"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Вимоги до компетентності</w:t>
            </w:r>
          </w:p>
        </w:tc>
      </w:tr>
      <w:tr w:rsidR="001C3886" w:rsidRPr="00117B40" w14:paraId="464C18C9"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9DF0FCB"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14:paraId="0D6DBF2F"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117B40" w14:paraId="4E98FFA3" w14:textId="77777777" w:rsidTr="009556E0">
        <w:tc>
          <w:tcPr>
            <w:tcW w:w="555" w:type="dxa"/>
            <w:tcBorders>
              <w:top w:val="single" w:sz="2" w:space="0" w:color="auto"/>
              <w:left w:val="single" w:sz="2" w:space="0" w:color="auto"/>
              <w:bottom w:val="single" w:sz="2" w:space="0" w:color="auto"/>
              <w:right w:val="single" w:sz="2" w:space="0" w:color="auto"/>
            </w:tcBorders>
            <w:hideMark/>
          </w:tcPr>
          <w:p w14:paraId="705F9F06"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1F649860" w14:textId="77777777"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Лідерство</w:t>
            </w:r>
          </w:p>
        </w:tc>
        <w:tc>
          <w:tcPr>
            <w:tcW w:w="5879" w:type="dxa"/>
            <w:tcBorders>
              <w:top w:val="single" w:sz="2" w:space="0" w:color="auto"/>
              <w:left w:val="single" w:sz="2" w:space="0" w:color="auto"/>
              <w:bottom w:val="single" w:sz="2" w:space="0" w:color="auto"/>
              <w:right w:val="single" w:sz="2" w:space="0" w:color="auto"/>
            </w:tcBorders>
            <w:vAlign w:val="center"/>
            <w:hideMark/>
          </w:tcPr>
          <w:p w14:paraId="713663A1" w14:textId="77777777" w:rsidR="001C3886" w:rsidRPr="00117B40" w:rsidRDefault="00960F17"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В</w:t>
            </w:r>
            <w:r w:rsidR="009556E0" w:rsidRPr="00117B40">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117B40" w14:paraId="0163703D" w14:textId="77777777" w:rsidTr="009556E0">
        <w:tc>
          <w:tcPr>
            <w:tcW w:w="555" w:type="dxa"/>
            <w:tcBorders>
              <w:top w:val="single" w:sz="2" w:space="0" w:color="auto"/>
              <w:left w:val="single" w:sz="2" w:space="0" w:color="auto"/>
              <w:bottom w:val="single" w:sz="2" w:space="0" w:color="auto"/>
              <w:right w:val="single" w:sz="2" w:space="0" w:color="auto"/>
            </w:tcBorders>
            <w:hideMark/>
          </w:tcPr>
          <w:p w14:paraId="5E93FCA2" w14:textId="77777777" w:rsidR="001C3886"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6E4FCCAF" w14:textId="77777777"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організацією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14:paraId="066C3CC1" w14:textId="77777777" w:rsidR="001C3886" w:rsidRPr="00117B40" w:rsidRDefault="00960F17" w:rsidP="009556E0">
            <w:pPr>
              <w:spacing w:after="0" w:line="240" w:lineRule="auto"/>
              <w:ind w:left="210"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w:t>
            </w:r>
            <w:r w:rsidR="009556E0" w:rsidRPr="00117B40">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117B40" w14:paraId="45D4DB11" w14:textId="77777777" w:rsidTr="009556E0">
        <w:tc>
          <w:tcPr>
            <w:tcW w:w="555" w:type="dxa"/>
            <w:tcBorders>
              <w:top w:val="single" w:sz="2" w:space="0" w:color="auto"/>
              <w:left w:val="single" w:sz="2" w:space="0" w:color="auto"/>
              <w:bottom w:val="single" w:sz="2" w:space="0" w:color="auto"/>
              <w:right w:val="single" w:sz="2" w:space="0" w:color="auto"/>
            </w:tcBorders>
          </w:tcPr>
          <w:p w14:paraId="5ED58982" w14:textId="77777777"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14:paraId="410926A8" w14:textId="77777777"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персоналом</w:t>
            </w:r>
          </w:p>
        </w:tc>
        <w:tc>
          <w:tcPr>
            <w:tcW w:w="5879" w:type="dxa"/>
            <w:tcBorders>
              <w:top w:val="single" w:sz="2" w:space="0" w:color="auto"/>
              <w:left w:val="single" w:sz="2" w:space="0" w:color="auto"/>
              <w:bottom w:val="single" w:sz="2" w:space="0" w:color="auto"/>
              <w:right w:val="single" w:sz="2" w:space="0" w:color="auto"/>
            </w:tcBorders>
            <w:vAlign w:val="center"/>
          </w:tcPr>
          <w:p w14:paraId="171CC596" w14:textId="77777777" w:rsidR="00F86951" w:rsidRPr="00117B40" w:rsidRDefault="00960F17" w:rsidP="009556E0">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С</w:t>
            </w:r>
            <w:r w:rsidR="009556E0" w:rsidRPr="00117B40">
              <w:rPr>
                <w:rFonts w:ascii="Times New Roman" w:hAnsi="Times New Roman" w:cs="Times New Roman"/>
                <w:sz w:val="24"/>
                <w:szCs w:val="24"/>
                <w:lang w:val="uk-UA"/>
              </w:rPr>
              <w:t>тимулювання командної роботи та співробітництва</w:t>
            </w:r>
          </w:p>
        </w:tc>
      </w:tr>
      <w:tr w:rsidR="00F86951" w:rsidRPr="00117B40" w14:paraId="0C757A8B" w14:textId="77777777" w:rsidTr="009556E0">
        <w:trPr>
          <w:trHeight w:val="75"/>
        </w:trPr>
        <w:tc>
          <w:tcPr>
            <w:tcW w:w="555" w:type="dxa"/>
            <w:tcBorders>
              <w:top w:val="single" w:sz="2" w:space="0" w:color="auto"/>
              <w:left w:val="single" w:sz="2" w:space="0" w:color="auto"/>
              <w:bottom w:val="single" w:sz="2" w:space="0" w:color="auto"/>
              <w:right w:val="single" w:sz="2" w:space="0" w:color="auto"/>
            </w:tcBorders>
          </w:tcPr>
          <w:p w14:paraId="11E4F146" w14:textId="77777777"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14:paraId="1708B298" w14:textId="77777777"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Досягнення результатів</w:t>
            </w:r>
          </w:p>
        </w:tc>
        <w:tc>
          <w:tcPr>
            <w:tcW w:w="5879" w:type="dxa"/>
            <w:tcBorders>
              <w:top w:val="single" w:sz="2" w:space="0" w:color="auto"/>
              <w:left w:val="single" w:sz="2" w:space="0" w:color="auto"/>
              <w:bottom w:val="single" w:sz="2" w:space="0" w:color="auto"/>
              <w:right w:val="single" w:sz="2" w:space="0" w:color="auto"/>
            </w:tcBorders>
            <w:vAlign w:val="center"/>
          </w:tcPr>
          <w:p w14:paraId="43B8327B" w14:textId="77777777" w:rsidR="00FB0A07" w:rsidRPr="00117B40" w:rsidRDefault="00960F17" w:rsidP="00FB0A07">
            <w:pPr>
              <w:spacing w:before="150" w:after="15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9556E0" w:rsidRPr="00117B40">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r w:rsidR="001C3886" w:rsidRPr="00117B40" w14:paraId="6348ADE9"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7B00A862" w14:textId="77777777"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Професійні знання</w:t>
            </w:r>
          </w:p>
        </w:tc>
      </w:tr>
      <w:tr w:rsidR="001C3886" w:rsidRPr="00117B40" w14:paraId="77E8D1E5"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7644BCA7"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14:paraId="460639EB"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B54E49" w14:paraId="056DEC48"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39C9431D" w14:textId="77777777" w:rsidR="001C3886" w:rsidRPr="005A661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7920925D" w14:textId="77777777" w:rsidR="001C3886" w:rsidRPr="005A6612"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14:paraId="719BEA06" w14:textId="77777777" w:rsidR="001C3886" w:rsidRPr="005A6612"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w:t>
            </w:r>
            <w:r w:rsidRPr="005A6612">
              <w:rPr>
                <w:rFonts w:ascii="Times New Roman" w:eastAsia="Times New Roman" w:hAnsi="Times New Roman" w:cs="Times New Roman"/>
                <w:sz w:val="24"/>
                <w:szCs w:val="24"/>
                <w:lang w:val="uk-UA" w:eastAsia="ru-RU"/>
              </w:rPr>
              <w:br/>
            </w:r>
            <w:hyperlink r:id="rId6" w:tgtFrame="_blank" w:history="1">
              <w:r w:rsidRPr="005A6612">
                <w:rPr>
                  <w:rFonts w:ascii="Times New Roman" w:eastAsia="Times New Roman" w:hAnsi="Times New Roman" w:cs="Times New Roman"/>
                  <w:sz w:val="24"/>
                  <w:szCs w:val="24"/>
                  <w:lang w:val="uk-UA" w:eastAsia="ru-RU"/>
                </w:rPr>
                <w:t>Конституції України</w:t>
              </w:r>
            </w:hyperlink>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7" w:tgtFrame="_blank" w:history="1">
              <w:r w:rsidRPr="005A6612">
                <w:rPr>
                  <w:rFonts w:ascii="Times New Roman" w:eastAsia="Times New Roman" w:hAnsi="Times New Roman" w:cs="Times New Roman"/>
                  <w:sz w:val="24"/>
                  <w:szCs w:val="24"/>
                  <w:lang w:val="uk-UA" w:eastAsia="ru-RU"/>
                </w:rPr>
                <w:t>Закону України</w:t>
              </w:r>
            </w:hyperlink>
            <w:r w:rsidR="00F6300B" w:rsidRPr="005A6612">
              <w:rPr>
                <w:rFonts w:ascii="Times New Roman" w:eastAsia="Times New Roman" w:hAnsi="Times New Roman" w:cs="Times New Roman"/>
                <w:sz w:val="24"/>
                <w:szCs w:val="24"/>
                <w:lang w:val="uk-UA" w:eastAsia="ru-RU"/>
              </w:rPr>
              <w:t> «Про державну службу»</w:t>
            </w:r>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8" w:tgtFrame="_blank" w:history="1">
              <w:r w:rsidRPr="005A6612">
                <w:rPr>
                  <w:rFonts w:ascii="Times New Roman" w:eastAsia="Times New Roman" w:hAnsi="Times New Roman" w:cs="Times New Roman"/>
                  <w:sz w:val="24"/>
                  <w:szCs w:val="24"/>
                  <w:lang w:val="uk-UA" w:eastAsia="ru-RU"/>
                </w:rPr>
                <w:t>Закону України</w:t>
              </w:r>
            </w:hyperlink>
            <w:r w:rsidRPr="005A6612">
              <w:rPr>
                <w:rFonts w:ascii="Times New Roman" w:eastAsia="Times New Roman" w:hAnsi="Times New Roman" w:cs="Times New Roman"/>
                <w:sz w:val="24"/>
                <w:szCs w:val="24"/>
                <w:lang w:val="uk-UA" w:eastAsia="ru-RU"/>
              </w:rPr>
              <w:t> </w:t>
            </w:r>
            <w:r w:rsidR="00F6300B" w:rsidRPr="005A6612">
              <w:rPr>
                <w:rFonts w:ascii="Times New Roman" w:eastAsia="Times New Roman" w:hAnsi="Times New Roman" w:cs="Times New Roman"/>
                <w:sz w:val="24"/>
                <w:szCs w:val="24"/>
                <w:lang w:val="uk-UA" w:eastAsia="ru-RU"/>
              </w:rPr>
              <w:t>«Про запобігання корупції»</w:t>
            </w:r>
            <w:r w:rsidRPr="005A6612">
              <w:rPr>
                <w:rFonts w:ascii="Times New Roman" w:eastAsia="Times New Roman" w:hAnsi="Times New Roman" w:cs="Times New Roman"/>
                <w:sz w:val="24"/>
                <w:szCs w:val="24"/>
                <w:lang w:val="uk-UA" w:eastAsia="ru-RU"/>
              </w:rPr>
              <w:br/>
              <w:t>та іншого законодавства</w:t>
            </w:r>
          </w:p>
        </w:tc>
      </w:tr>
      <w:tr w:rsidR="001C3886" w:rsidRPr="00B54E49" w14:paraId="6F1EBE00"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650E429F" w14:textId="77777777" w:rsidR="001C3886" w:rsidRPr="00B54E4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B54E49" w14:paraId="6B680A41"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096C09F4" w14:textId="77777777" w:rsidR="001C3886" w:rsidRPr="00AD19B1" w:rsidRDefault="00F6300B" w:rsidP="00F6300B">
            <w:pPr>
              <w:spacing w:after="0" w:line="240" w:lineRule="auto"/>
              <w:jc w:val="center"/>
              <w:rPr>
                <w:rFonts w:ascii="Times New Roman" w:eastAsia="Times New Roman" w:hAnsi="Times New Roman" w:cs="Times New Roman"/>
                <w:sz w:val="24"/>
                <w:szCs w:val="24"/>
                <w:lang w:val="en-US" w:eastAsia="ru-RU"/>
              </w:rPr>
            </w:pPr>
            <w:r w:rsidRPr="00AD19B1">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10C6842D" w14:textId="77777777" w:rsidR="001C3886" w:rsidRPr="00AD19B1" w:rsidRDefault="00F6300B" w:rsidP="00F6300B">
            <w:pPr>
              <w:spacing w:after="0" w:line="240" w:lineRule="auto"/>
              <w:ind w:left="154"/>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14:paraId="1ACED417" w14:textId="77777777" w:rsidR="00241D49" w:rsidRPr="009709FC" w:rsidRDefault="00241D49" w:rsidP="00241D49">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Знання:</w:t>
            </w:r>
          </w:p>
          <w:p w14:paraId="0BAB3646" w14:textId="77777777" w:rsidR="00241D49" w:rsidRPr="009709FC" w:rsidRDefault="00241D49" w:rsidP="00241D49">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14:paraId="424DCC95" w14:textId="77777777" w:rsidR="00241D49" w:rsidRPr="009709FC" w:rsidRDefault="00241D49" w:rsidP="00241D49">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2. Закону України «Про ринок електричної енергії»</w:t>
            </w:r>
            <w:r>
              <w:rPr>
                <w:rFonts w:ascii="Times New Roman" w:eastAsia="Times New Roman" w:hAnsi="Times New Roman" w:cs="Times New Roman"/>
                <w:sz w:val="24"/>
                <w:szCs w:val="24"/>
                <w:lang w:val="uk-UA" w:eastAsia="ru-RU"/>
              </w:rPr>
              <w:t>.</w:t>
            </w:r>
          </w:p>
          <w:p w14:paraId="3DAE4FF6" w14:textId="77777777" w:rsidR="00241D49" w:rsidRPr="009709FC" w:rsidRDefault="00241D49" w:rsidP="00241D49">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14:paraId="633E766B" w14:textId="77777777" w:rsidR="00241D49" w:rsidRPr="009709FC" w:rsidRDefault="00241D49" w:rsidP="00241D49">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w:t>
            </w:r>
            <w:r w:rsidRPr="009709FC">
              <w:rPr>
                <w:rFonts w:ascii="Times New Roman" w:eastAsia="Times New Roman" w:hAnsi="Times New Roman" w:cs="Times New Roman"/>
                <w:sz w:val="24"/>
                <w:szCs w:val="24"/>
                <w:lang w:val="uk-UA" w:eastAsia="ru-RU"/>
              </w:rPr>
              <w:lastRenderedPageBreak/>
              <w:t>Міністрів України від 14 лютого 2018 року № 77</w:t>
            </w:r>
            <w:r>
              <w:rPr>
                <w:rFonts w:ascii="Times New Roman" w:eastAsia="Times New Roman" w:hAnsi="Times New Roman" w:cs="Times New Roman"/>
                <w:sz w:val="24"/>
                <w:szCs w:val="24"/>
                <w:lang w:val="uk-UA" w:eastAsia="ru-RU"/>
              </w:rPr>
              <w:br/>
              <w:t>(зі змінами).</w:t>
            </w:r>
          </w:p>
          <w:p w14:paraId="6E51CFD8" w14:textId="77777777" w:rsidR="00241D49" w:rsidRPr="009709FC" w:rsidRDefault="00241D49" w:rsidP="00241D49">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безпечної експлуатації електроустановок, затверджених наказом Державного комітету України по нагляду за охороною праці від 06 жовт</w:t>
            </w:r>
            <w:r>
              <w:rPr>
                <w:rFonts w:ascii="Times New Roman" w:eastAsia="Times New Roman" w:hAnsi="Times New Roman" w:cs="Times New Roman"/>
                <w:sz w:val="24"/>
                <w:szCs w:val="24"/>
                <w:lang w:val="uk-UA" w:eastAsia="ru-RU"/>
              </w:rPr>
              <w:t>ня 1997 року № 257 (зі змінами).</w:t>
            </w:r>
          </w:p>
          <w:p w14:paraId="539F7DAA" w14:textId="77777777" w:rsidR="00241D49" w:rsidRPr="009709FC" w:rsidRDefault="00241D49" w:rsidP="00241D49">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14:paraId="28A4C7B0" w14:textId="77777777" w:rsidR="00241D49" w:rsidRPr="009709FC" w:rsidRDefault="00241D49" w:rsidP="00241D49">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технічної експлуатації теплових установок і мереж, затверджених наказом Міністерства палива та енергетики України від 14 лютого 2007 року № 71</w:t>
            </w:r>
            <w:r>
              <w:rPr>
                <w:rFonts w:ascii="Times New Roman" w:eastAsia="Times New Roman" w:hAnsi="Times New Roman" w:cs="Times New Roman"/>
                <w:sz w:val="24"/>
                <w:szCs w:val="24"/>
                <w:lang w:val="uk-UA" w:eastAsia="ru-RU"/>
              </w:rPr>
              <w:br/>
              <w:t>(зі змінами).</w:t>
            </w:r>
          </w:p>
          <w:p w14:paraId="52ADAA38" w14:textId="548D781D" w:rsidR="001C3886" w:rsidRPr="00AD19B1" w:rsidRDefault="00241D49" w:rsidP="00241D49">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w:t>
            </w:r>
            <w:r>
              <w:rPr>
                <w:rFonts w:ascii="Times New Roman" w:eastAsia="Times New Roman" w:hAnsi="Times New Roman" w:cs="Times New Roman"/>
                <w:sz w:val="24"/>
                <w:szCs w:val="24"/>
                <w:lang w:val="uk-UA" w:eastAsia="ru-RU"/>
              </w:rPr>
              <w:br/>
            </w:r>
            <w:r w:rsidRPr="009709FC">
              <w:rPr>
                <w:rFonts w:ascii="Times New Roman" w:eastAsia="Times New Roman" w:hAnsi="Times New Roman" w:cs="Times New Roman"/>
                <w:sz w:val="24"/>
                <w:szCs w:val="24"/>
                <w:lang w:val="uk-UA" w:eastAsia="ru-RU"/>
              </w:rPr>
              <w:t>31 грудня 2008 року за № 1310/16001 (зі змінами).</w:t>
            </w:r>
          </w:p>
        </w:tc>
      </w:tr>
    </w:tbl>
    <w:p w14:paraId="0D109596" w14:textId="77777777" w:rsidR="003A4DB9" w:rsidRDefault="003A4DB9" w:rsidP="003A4DB9">
      <w:pPr>
        <w:rPr>
          <w:rFonts w:ascii="Times New Roman" w:hAnsi="Times New Roman" w:cs="Times New Roman"/>
          <w:sz w:val="24"/>
          <w:szCs w:val="24"/>
          <w:lang w:val="uk-UA"/>
        </w:rPr>
      </w:pPr>
      <w:bookmarkStart w:id="3" w:name="n767"/>
      <w:bookmarkEnd w:id="3"/>
    </w:p>
    <w:p w14:paraId="50475AF5" w14:textId="77777777" w:rsidR="003A4DB9" w:rsidRPr="00DD0C47" w:rsidRDefault="003A4DB9" w:rsidP="003A4DB9">
      <w:pPr>
        <w:rPr>
          <w:rFonts w:ascii="Times New Roman" w:hAnsi="Times New Roman" w:cs="Times New Roman"/>
          <w:sz w:val="24"/>
          <w:szCs w:val="24"/>
          <w:lang w:val="uk-UA"/>
        </w:rPr>
      </w:pPr>
    </w:p>
    <w:p w14:paraId="5C793D12" w14:textId="77777777" w:rsidR="003A4DB9" w:rsidRPr="002F06E0" w:rsidRDefault="003A4DB9" w:rsidP="003A4DB9">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14:paraId="3228D41A" w14:textId="77777777" w:rsidR="003A4DB9" w:rsidRPr="002F06E0" w:rsidRDefault="003A4DB9" w:rsidP="003A4DB9">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14:paraId="69CB867C" w14:textId="65B5DDF3" w:rsidR="009556E0" w:rsidRPr="003A4DB9" w:rsidRDefault="009556E0" w:rsidP="003A4DB9">
      <w:pPr>
        <w:jc w:val="center"/>
        <w:rPr>
          <w:rFonts w:ascii="Times New Roman" w:hAnsi="Times New Roman" w:cs="Times New Roman"/>
          <w:sz w:val="24"/>
          <w:szCs w:val="24"/>
        </w:rPr>
      </w:pPr>
    </w:p>
    <w:sectPr w:rsidR="009556E0" w:rsidRPr="003A4DB9" w:rsidSect="00D66B1B">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3862FEF"/>
    <w:multiLevelType w:val="hybridMultilevel"/>
    <w:tmpl w:val="353A848A"/>
    <w:lvl w:ilvl="0" w:tplc="0419000F">
      <w:start w:val="1"/>
      <w:numFmt w:val="decimal"/>
      <w:lvlText w:val="%1."/>
      <w:lvlJc w:val="left"/>
      <w:pPr>
        <w:ind w:left="1210" w:hanging="360"/>
      </w:pPr>
    </w:lvl>
    <w:lvl w:ilvl="1" w:tplc="3760BCA0">
      <w:numFmt w:val="bullet"/>
      <w:lvlText w:val="-"/>
      <w:lvlJc w:val="left"/>
      <w:pPr>
        <w:ind w:left="1960" w:hanging="390"/>
      </w:pPr>
      <w:rPr>
        <w:rFonts w:ascii="Times New Roman" w:eastAsia="Times New Roman" w:hAnsi="Times New Roman" w:cs="Times New Roman" w:hint="default"/>
      </w:r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26292"/>
    <w:rsid w:val="00056C6B"/>
    <w:rsid w:val="00072AE7"/>
    <w:rsid w:val="00074855"/>
    <w:rsid w:val="00077F91"/>
    <w:rsid w:val="000D7C83"/>
    <w:rsid w:val="000F520E"/>
    <w:rsid w:val="00102E83"/>
    <w:rsid w:val="00104071"/>
    <w:rsid w:val="00111DB2"/>
    <w:rsid w:val="00117B40"/>
    <w:rsid w:val="00121B1F"/>
    <w:rsid w:val="0012453C"/>
    <w:rsid w:val="00172C58"/>
    <w:rsid w:val="00180182"/>
    <w:rsid w:val="00186658"/>
    <w:rsid w:val="00194733"/>
    <w:rsid w:val="001A5653"/>
    <w:rsid w:val="001C3886"/>
    <w:rsid w:val="00207396"/>
    <w:rsid w:val="00241D49"/>
    <w:rsid w:val="0026089C"/>
    <w:rsid w:val="0026382D"/>
    <w:rsid w:val="00275CF1"/>
    <w:rsid w:val="002805BC"/>
    <w:rsid w:val="002944BF"/>
    <w:rsid w:val="002A4043"/>
    <w:rsid w:val="002A5820"/>
    <w:rsid w:val="002B07CF"/>
    <w:rsid w:val="002B6D79"/>
    <w:rsid w:val="00321076"/>
    <w:rsid w:val="00323791"/>
    <w:rsid w:val="0034320A"/>
    <w:rsid w:val="00343447"/>
    <w:rsid w:val="00346727"/>
    <w:rsid w:val="003714EF"/>
    <w:rsid w:val="003A4DB9"/>
    <w:rsid w:val="003E07ED"/>
    <w:rsid w:val="003E2C5A"/>
    <w:rsid w:val="003E54A7"/>
    <w:rsid w:val="003E695F"/>
    <w:rsid w:val="00441E9A"/>
    <w:rsid w:val="0044643B"/>
    <w:rsid w:val="00447650"/>
    <w:rsid w:val="00455967"/>
    <w:rsid w:val="00494148"/>
    <w:rsid w:val="004F45AD"/>
    <w:rsid w:val="00533F85"/>
    <w:rsid w:val="00543126"/>
    <w:rsid w:val="005566D4"/>
    <w:rsid w:val="005641C6"/>
    <w:rsid w:val="005A6612"/>
    <w:rsid w:val="005B1F08"/>
    <w:rsid w:val="005D27AB"/>
    <w:rsid w:val="005F48A6"/>
    <w:rsid w:val="00617E04"/>
    <w:rsid w:val="006217BE"/>
    <w:rsid w:val="006301E9"/>
    <w:rsid w:val="00644C1D"/>
    <w:rsid w:val="006A3678"/>
    <w:rsid w:val="006C33EB"/>
    <w:rsid w:val="006C4597"/>
    <w:rsid w:val="007218D9"/>
    <w:rsid w:val="00730799"/>
    <w:rsid w:val="0073119A"/>
    <w:rsid w:val="0073201C"/>
    <w:rsid w:val="007418D3"/>
    <w:rsid w:val="00791A8A"/>
    <w:rsid w:val="007B0B4F"/>
    <w:rsid w:val="007B283C"/>
    <w:rsid w:val="007C25B9"/>
    <w:rsid w:val="007E5B2E"/>
    <w:rsid w:val="007F05D6"/>
    <w:rsid w:val="007F29EA"/>
    <w:rsid w:val="008002DA"/>
    <w:rsid w:val="00815D8E"/>
    <w:rsid w:val="00822F96"/>
    <w:rsid w:val="00826B75"/>
    <w:rsid w:val="00873359"/>
    <w:rsid w:val="00874497"/>
    <w:rsid w:val="008861AD"/>
    <w:rsid w:val="008B0C67"/>
    <w:rsid w:val="008E1DD4"/>
    <w:rsid w:val="0091247B"/>
    <w:rsid w:val="009311C9"/>
    <w:rsid w:val="0094711D"/>
    <w:rsid w:val="009556E0"/>
    <w:rsid w:val="00960F17"/>
    <w:rsid w:val="009709FC"/>
    <w:rsid w:val="0097380E"/>
    <w:rsid w:val="009B6123"/>
    <w:rsid w:val="009C1584"/>
    <w:rsid w:val="009C48AC"/>
    <w:rsid w:val="009C4E96"/>
    <w:rsid w:val="009C6440"/>
    <w:rsid w:val="009C6888"/>
    <w:rsid w:val="009E035F"/>
    <w:rsid w:val="009F19AF"/>
    <w:rsid w:val="00A1490D"/>
    <w:rsid w:val="00A273CA"/>
    <w:rsid w:val="00A475DE"/>
    <w:rsid w:val="00A55A53"/>
    <w:rsid w:val="00A71301"/>
    <w:rsid w:val="00A9327E"/>
    <w:rsid w:val="00A96562"/>
    <w:rsid w:val="00AA23C2"/>
    <w:rsid w:val="00AC5E97"/>
    <w:rsid w:val="00AD19B1"/>
    <w:rsid w:val="00AE52F4"/>
    <w:rsid w:val="00B15D37"/>
    <w:rsid w:val="00B226FE"/>
    <w:rsid w:val="00B25FEE"/>
    <w:rsid w:val="00B37117"/>
    <w:rsid w:val="00B51562"/>
    <w:rsid w:val="00B54E49"/>
    <w:rsid w:val="00B56368"/>
    <w:rsid w:val="00BB3736"/>
    <w:rsid w:val="00BD68CC"/>
    <w:rsid w:val="00BE6BCA"/>
    <w:rsid w:val="00C0303C"/>
    <w:rsid w:val="00C366F2"/>
    <w:rsid w:val="00C415C6"/>
    <w:rsid w:val="00C543C2"/>
    <w:rsid w:val="00C60CC1"/>
    <w:rsid w:val="00C615FB"/>
    <w:rsid w:val="00C64771"/>
    <w:rsid w:val="00C66D96"/>
    <w:rsid w:val="00C82304"/>
    <w:rsid w:val="00C84FC4"/>
    <w:rsid w:val="00CB0CDE"/>
    <w:rsid w:val="00CC3085"/>
    <w:rsid w:val="00CD39CD"/>
    <w:rsid w:val="00CD7C7B"/>
    <w:rsid w:val="00CF086E"/>
    <w:rsid w:val="00CF0D13"/>
    <w:rsid w:val="00CF1D03"/>
    <w:rsid w:val="00D0377C"/>
    <w:rsid w:val="00D45CFC"/>
    <w:rsid w:val="00D51536"/>
    <w:rsid w:val="00D63636"/>
    <w:rsid w:val="00D63FC8"/>
    <w:rsid w:val="00D66B1B"/>
    <w:rsid w:val="00D93030"/>
    <w:rsid w:val="00DA6A9F"/>
    <w:rsid w:val="00DB1873"/>
    <w:rsid w:val="00DB1CEF"/>
    <w:rsid w:val="00DB77DE"/>
    <w:rsid w:val="00DC44A6"/>
    <w:rsid w:val="00DD180A"/>
    <w:rsid w:val="00DD47D9"/>
    <w:rsid w:val="00DD49A3"/>
    <w:rsid w:val="00DD6D54"/>
    <w:rsid w:val="00DD6E4A"/>
    <w:rsid w:val="00DE5C5E"/>
    <w:rsid w:val="00E164E0"/>
    <w:rsid w:val="00E174A6"/>
    <w:rsid w:val="00E40CB4"/>
    <w:rsid w:val="00E40ECB"/>
    <w:rsid w:val="00E50309"/>
    <w:rsid w:val="00E54F16"/>
    <w:rsid w:val="00EB41D3"/>
    <w:rsid w:val="00ED29BA"/>
    <w:rsid w:val="00ED39EC"/>
    <w:rsid w:val="00EE3967"/>
    <w:rsid w:val="00F0430A"/>
    <w:rsid w:val="00F24350"/>
    <w:rsid w:val="00F5341F"/>
    <w:rsid w:val="00F6300B"/>
    <w:rsid w:val="00F63ED0"/>
    <w:rsid w:val="00F84BF3"/>
    <w:rsid w:val="00F86951"/>
    <w:rsid w:val="00F91443"/>
    <w:rsid w:val="00F92A33"/>
    <w:rsid w:val="00F93C29"/>
    <w:rsid w:val="00FA26D2"/>
    <w:rsid w:val="00FA5CB9"/>
    <w:rsid w:val="00FB0A07"/>
    <w:rsid w:val="00FC3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BAB1"/>
  <w15:docId w15:val="{F639688A-1801-4FF4-A52B-54A4573F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69334">
      <w:bodyDiv w:val="1"/>
      <w:marLeft w:val="0"/>
      <w:marRight w:val="0"/>
      <w:marTop w:val="0"/>
      <w:marBottom w:val="0"/>
      <w:divBdr>
        <w:top w:val="none" w:sz="0" w:space="0" w:color="auto"/>
        <w:left w:val="none" w:sz="0" w:space="0" w:color="auto"/>
        <w:bottom w:val="none" w:sz="0" w:space="0" w:color="auto"/>
        <w:right w:val="none" w:sz="0" w:space="0" w:color="auto"/>
      </w:divBdr>
    </w:div>
    <w:div w:id="447939247">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6024224">
      <w:bodyDiv w:val="1"/>
      <w:marLeft w:val="0"/>
      <w:marRight w:val="0"/>
      <w:marTop w:val="0"/>
      <w:marBottom w:val="0"/>
      <w:divBdr>
        <w:top w:val="none" w:sz="0" w:space="0" w:color="auto"/>
        <w:left w:val="none" w:sz="0" w:space="0" w:color="auto"/>
        <w:bottom w:val="none" w:sz="0" w:space="0" w:color="auto"/>
        <w:right w:val="none" w:sz="0" w:space="0" w:color="auto"/>
      </w:divBdr>
    </w:div>
    <w:div w:id="67430201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719551327">
      <w:bodyDiv w:val="1"/>
      <w:marLeft w:val="0"/>
      <w:marRight w:val="0"/>
      <w:marTop w:val="0"/>
      <w:marBottom w:val="0"/>
      <w:divBdr>
        <w:top w:val="none" w:sz="0" w:space="0" w:color="auto"/>
        <w:left w:val="none" w:sz="0" w:space="0" w:color="auto"/>
        <w:bottom w:val="none" w:sz="0" w:space="0" w:color="auto"/>
        <w:right w:val="none" w:sz="0" w:space="0" w:color="auto"/>
      </w:divBdr>
    </w:div>
    <w:div w:id="1023675453">
      <w:bodyDiv w:val="1"/>
      <w:marLeft w:val="0"/>
      <w:marRight w:val="0"/>
      <w:marTop w:val="0"/>
      <w:marBottom w:val="0"/>
      <w:divBdr>
        <w:top w:val="none" w:sz="0" w:space="0" w:color="auto"/>
        <w:left w:val="none" w:sz="0" w:space="0" w:color="auto"/>
        <w:bottom w:val="none" w:sz="0" w:space="0" w:color="auto"/>
        <w:right w:val="none" w:sz="0" w:space="0" w:color="auto"/>
      </w:divBdr>
    </w:div>
    <w:div w:id="1216041744">
      <w:bodyDiv w:val="1"/>
      <w:marLeft w:val="0"/>
      <w:marRight w:val="0"/>
      <w:marTop w:val="0"/>
      <w:marBottom w:val="0"/>
      <w:divBdr>
        <w:top w:val="none" w:sz="0" w:space="0" w:color="auto"/>
        <w:left w:val="none" w:sz="0" w:space="0" w:color="auto"/>
        <w:bottom w:val="none" w:sz="0" w:space="0" w:color="auto"/>
        <w:right w:val="none" w:sz="0" w:space="0" w:color="auto"/>
      </w:divBdr>
    </w:div>
    <w:div w:id="148801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hyperlink" Target="https://zakon.rada.gov.ua/laws/show/88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44A5F-7472-48A6-B969-1187158A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7214</Words>
  <Characters>4113</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20</cp:revision>
  <cp:lastPrinted>2021-03-22T09:52:00Z</cp:lastPrinted>
  <dcterms:created xsi:type="dcterms:W3CDTF">2021-06-24T11:52:00Z</dcterms:created>
  <dcterms:modified xsi:type="dcterms:W3CDTF">2021-07-02T08:49:00Z</dcterms:modified>
</cp:coreProperties>
</file>