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2B6F18" w:rsidRDefault="002B6F18" w:rsidP="002B6F18">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71210B">
        <w:rPr>
          <w:rFonts w:ascii="Times New Roman" w:eastAsia="Times New Roman" w:hAnsi="Times New Roman" w:cs="Times New Roman"/>
          <w:b/>
          <w:bCs/>
          <w:color w:val="333333"/>
          <w:sz w:val="24"/>
          <w:szCs w:val="24"/>
          <w:lang w:val="uk-UA" w:eastAsia="ru-RU"/>
        </w:rPr>
        <w:t>н</w:t>
      </w:r>
      <w:r w:rsidR="0071210B" w:rsidRPr="0071210B">
        <w:rPr>
          <w:rFonts w:ascii="Times New Roman" w:eastAsia="Times New Roman" w:hAnsi="Times New Roman" w:cs="Times New Roman"/>
          <w:b/>
          <w:bCs/>
          <w:color w:val="333333"/>
          <w:sz w:val="24"/>
          <w:szCs w:val="24"/>
          <w:lang w:val="uk-UA" w:eastAsia="ru-RU"/>
        </w:rPr>
        <w:t>ачальник</w:t>
      </w:r>
      <w:r w:rsidR="0071210B">
        <w:rPr>
          <w:rFonts w:ascii="Times New Roman" w:eastAsia="Times New Roman" w:hAnsi="Times New Roman" w:cs="Times New Roman"/>
          <w:b/>
          <w:bCs/>
          <w:color w:val="333333"/>
          <w:sz w:val="24"/>
          <w:szCs w:val="24"/>
          <w:lang w:val="uk-UA" w:eastAsia="ru-RU"/>
        </w:rPr>
        <w:t>а</w:t>
      </w:r>
      <w:r w:rsidR="0071210B" w:rsidRPr="0071210B">
        <w:rPr>
          <w:rFonts w:ascii="Times New Roman" w:eastAsia="Times New Roman" w:hAnsi="Times New Roman" w:cs="Times New Roman"/>
          <w:b/>
          <w:bCs/>
          <w:color w:val="333333"/>
          <w:sz w:val="24"/>
          <w:szCs w:val="24"/>
          <w:lang w:val="uk-UA" w:eastAsia="ru-RU"/>
        </w:rPr>
        <w:t xml:space="preserve"> відділу нагляду по</w:t>
      </w:r>
      <w:r w:rsidR="0071210B">
        <w:rPr>
          <w:rFonts w:ascii="Times New Roman" w:eastAsia="Times New Roman" w:hAnsi="Times New Roman" w:cs="Times New Roman"/>
          <w:b/>
          <w:bCs/>
          <w:color w:val="333333"/>
          <w:sz w:val="24"/>
          <w:szCs w:val="24"/>
          <w:lang w:val="uk-UA" w:eastAsia="ru-RU"/>
        </w:rPr>
        <w:t xml:space="preserve"> </w:t>
      </w:r>
      <w:r w:rsidR="009511AF">
        <w:rPr>
          <w:rFonts w:ascii="Times New Roman" w:eastAsia="Times New Roman" w:hAnsi="Times New Roman" w:cs="Times New Roman"/>
          <w:b/>
          <w:bCs/>
          <w:color w:val="333333"/>
          <w:sz w:val="24"/>
          <w:szCs w:val="24"/>
          <w:lang w:val="uk-UA" w:eastAsia="ru-RU"/>
        </w:rPr>
        <w:t>Південно-Західному</w:t>
      </w:r>
      <w:r w:rsidR="0071210B">
        <w:rPr>
          <w:rFonts w:ascii="Times New Roman" w:eastAsia="Times New Roman" w:hAnsi="Times New Roman" w:cs="Times New Roman"/>
          <w:b/>
          <w:bCs/>
          <w:color w:val="333333"/>
          <w:sz w:val="24"/>
          <w:szCs w:val="24"/>
          <w:lang w:val="uk-UA" w:eastAsia="ru-RU"/>
        </w:rPr>
        <w:t xml:space="preserve"> регіону – головного державного</w:t>
      </w:r>
      <w:r w:rsidR="0071210B" w:rsidRPr="0071210B">
        <w:rPr>
          <w:rFonts w:ascii="Times New Roman" w:eastAsia="Times New Roman" w:hAnsi="Times New Roman" w:cs="Times New Roman"/>
          <w:b/>
          <w:bCs/>
          <w:color w:val="333333"/>
          <w:sz w:val="24"/>
          <w:szCs w:val="24"/>
          <w:lang w:val="uk-UA" w:eastAsia="ru-RU"/>
        </w:rPr>
        <w:t xml:space="preserve"> інспектор</w:t>
      </w:r>
      <w:r w:rsidR="0071210B">
        <w:rPr>
          <w:rFonts w:ascii="Times New Roman" w:eastAsia="Times New Roman" w:hAnsi="Times New Roman" w:cs="Times New Roman"/>
          <w:b/>
          <w:bCs/>
          <w:color w:val="333333"/>
          <w:sz w:val="24"/>
          <w:szCs w:val="24"/>
          <w:lang w:val="uk-UA" w:eastAsia="ru-RU"/>
        </w:rPr>
        <w:t>а</w:t>
      </w:r>
      <w:r w:rsidR="0071210B" w:rsidRPr="0071210B">
        <w:rPr>
          <w:rFonts w:ascii="Times New Roman" w:eastAsia="Times New Roman" w:hAnsi="Times New Roman" w:cs="Times New Roman"/>
          <w:b/>
          <w:bCs/>
          <w:color w:val="333333"/>
          <w:sz w:val="24"/>
          <w:szCs w:val="24"/>
          <w:lang w:val="uk-UA" w:eastAsia="ru-RU"/>
        </w:rPr>
        <w:t xml:space="preserve">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F71D8A">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92C7D" w:rsidTr="00F71D8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71210B">
              <w:rPr>
                <w:rFonts w:ascii="Times New Roman" w:eastAsia="Times New Roman" w:hAnsi="Times New Roman" w:cs="Times New Roman"/>
                <w:sz w:val="24"/>
                <w:szCs w:val="24"/>
                <w:lang w:val="uk-UA" w:eastAsia="ru-RU"/>
              </w:rPr>
              <w:t>Керівництво та організація роботи відділу:</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забезпечення виконання завдань і функцій, покладених на відділ;</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виконання організаційно-розпорядчих документів Міненерго;</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здійснення, з дотриманням затверджених термінів,  заходів державного нагляду (контролю) об’єктів  у галузі електроенергетики та теплопостачання;</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розроблення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річних планів роботи відділу та виконання затверджених планів;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участь у підготовці річного звіту Держенергонагляду з питань, що стосуються діяльності Департаменту;</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вжиття заходів щодо недопущення працівниками відділу конфлікту інтересів;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підготовки та підвищення кваліфікації інспекторського складу;</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аналіз приписів, виданих інспекторським складом відділу, та контроль стану їх виконання;</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участь у технічних нарадах, конференціях і семінарах Міненерго та інших міністерств; </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в межах повноважень.</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71210B">
              <w:rPr>
                <w:rFonts w:ascii="Times New Roman" w:eastAsia="Times New Roman" w:hAnsi="Times New Roman" w:cs="Times New Roman"/>
                <w:sz w:val="24"/>
                <w:szCs w:val="24"/>
                <w:lang w:val="uk-UA" w:eastAsia="ru-RU"/>
              </w:rPr>
              <w:t xml:space="preserve">Організація та здійснення державного енергетичного нагляду (контролю) щодо учасників ринку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 з дотримання ними вимог нормативно-правових актів, </w:t>
            </w:r>
            <w:r w:rsidRPr="0071210B">
              <w:rPr>
                <w:rFonts w:ascii="Times New Roman" w:eastAsia="Times New Roman" w:hAnsi="Times New Roman" w:cs="Times New Roman"/>
                <w:sz w:val="24"/>
                <w:szCs w:val="24"/>
                <w:lang w:val="uk-UA" w:eastAsia="ru-RU"/>
              </w:rPr>
              <w:lastRenderedPageBreak/>
              <w:t>нормативно</w:t>
            </w:r>
            <w:r w:rsidR="00431680">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технічних і нормативних документів з питань технічної експлуатації електричних станцій і мереж.</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71210B">
              <w:rPr>
                <w:rFonts w:ascii="Times New Roman" w:eastAsia="Times New Roman" w:hAnsi="Times New Roman" w:cs="Times New Roman"/>
                <w:sz w:val="24"/>
                <w:szCs w:val="24"/>
                <w:lang w:val="uk-UA" w:eastAsia="ru-RU"/>
              </w:rPr>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Pr="0071210B">
              <w:rPr>
                <w:rFonts w:ascii="Times New Roman" w:eastAsia="Times New Roman" w:hAnsi="Times New Roman" w:cs="Times New Roman"/>
                <w:sz w:val="24"/>
                <w:szCs w:val="24"/>
                <w:lang w:val="uk-UA" w:eastAsia="ru-RU"/>
              </w:rPr>
              <w:t>тепловикористальних</w:t>
            </w:r>
            <w:proofErr w:type="spellEnd"/>
            <w:r w:rsidRPr="0071210B">
              <w:rPr>
                <w:rFonts w:ascii="Times New Roman" w:eastAsia="Times New Roman" w:hAnsi="Times New Roman" w:cs="Times New Roman"/>
                <w:sz w:val="24"/>
                <w:szCs w:val="24"/>
                <w:lang w:val="uk-UA" w:eastAsia="ru-RU"/>
              </w:rPr>
              <w:t xml:space="preserve"> установок та мереж.</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71210B" w:rsidRPr="0071210B">
              <w:rPr>
                <w:rFonts w:ascii="Times New Roman" w:eastAsia="Times New Roman" w:hAnsi="Times New Roman" w:cs="Times New Roman"/>
                <w:sz w:val="24"/>
                <w:szCs w:val="24"/>
                <w:lang w:val="uk-UA" w:eastAsia="ru-RU"/>
              </w:rPr>
              <w:t>Забезпечення здійснення державного нагляду(контролю) за:</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організацією диспетчерського (</w:t>
            </w:r>
            <w:proofErr w:type="spellStart"/>
            <w:r w:rsidR="0071210B" w:rsidRPr="0071210B">
              <w:rPr>
                <w:rFonts w:ascii="Times New Roman" w:eastAsia="Times New Roman" w:hAnsi="Times New Roman" w:cs="Times New Roman"/>
                <w:sz w:val="24"/>
                <w:szCs w:val="24"/>
                <w:lang w:val="uk-UA" w:eastAsia="ru-RU"/>
              </w:rPr>
              <w:t>оперативно</w:t>
            </w:r>
            <w:proofErr w:type="spellEnd"/>
            <w:r w:rsidR="0071210B" w:rsidRPr="0071210B">
              <w:rPr>
                <w:rFonts w:ascii="Times New Roman" w:eastAsia="Times New Roman" w:hAnsi="Times New Roman" w:cs="Times New Roman"/>
                <w:sz w:val="24"/>
                <w:szCs w:val="24"/>
                <w:lang w:val="uk-UA" w:eastAsia="ru-RU"/>
              </w:rPr>
              <w:t xml:space="preserve">-технологічного) управління об’єктами електроенергетики України; </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належним технічним станом елементів обладнання системної протиаварійної автоматики, встановлених у учасників ринку електричної енергії;</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термінами виконання та якості планово-запобіжних ремонтів об’єктів у галузях електроенергетики та теплопостачання;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станом та  організацією протиаварійної роботи;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організацією,  періодичністю проведення спеціальної підготовки та перевірки рівня знань працівників, які здійснюють диспетчерське (</w:t>
            </w:r>
            <w:proofErr w:type="spellStart"/>
            <w:r w:rsidRPr="0071210B">
              <w:rPr>
                <w:rFonts w:ascii="Times New Roman" w:eastAsia="Times New Roman" w:hAnsi="Times New Roman" w:cs="Times New Roman"/>
                <w:sz w:val="24"/>
                <w:szCs w:val="24"/>
                <w:lang w:val="uk-UA" w:eastAsia="ru-RU"/>
              </w:rPr>
              <w:t>оперативно</w:t>
            </w:r>
            <w:proofErr w:type="spellEnd"/>
            <w:r w:rsidRPr="0071210B">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у галузях електроенергетики та теплопостачання.</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71210B" w:rsidRPr="0071210B">
              <w:rPr>
                <w:rFonts w:ascii="Times New Roman" w:eastAsia="Times New Roman" w:hAnsi="Times New Roman" w:cs="Times New Roman"/>
                <w:sz w:val="24"/>
                <w:szCs w:val="24"/>
                <w:lang w:val="uk-UA" w:eastAsia="ru-RU"/>
              </w:rPr>
              <w:t>Організація участі та участь (за потреби) у роботі комісій з:</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розслідування технологічних порушень у роботі об'єктів у галузях електроенергетики та теплопостачання,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 </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перевірки знань працівників структурних підрозділів електроенергетичних підприємств та організацій.</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71210B" w:rsidRPr="0071210B">
              <w:rPr>
                <w:rFonts w:ascii="Times New Roman" w:eastAsia="Times New Roman" w:hAnsi="Times New Roman" w:cs="Times New Roman"/>
                <w:sz w:val="24"/>
                <w:szCs w:val="24"/>
                <w:lang w:val="uk-UA" w:eastAsia="ru-RU"/>
              </w:rPr>
              <w:t xml:space="preserve">Забезпечення розгляду та підготовки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висновків:</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щодо пріоритетності технічних рішень для розвитку системи передачі, передбачених </w:t>
            </w:r>
            <w:proofErr w:type="spellStart"/>
            <w:r w:rsidR="0071210B" w:rsidRPr="0071210B">
              <w:rPr>
                <w:rFonts w:ascii="Times New Roman" w:eastAsia="Times New Roman" w:hAnsi="Times New Roman" w:cs="Times New Roman"/>
                <w:sz w:val="24"/>
                <w:szCs w:val="24"/>
                <w:lang w:val="uk-UA" w:eastAsia="ru-RU"/>
              </w:rPr>
              <w:t>проєктами</w:t>
            </w:r>
            <w:proofErr w:type="spellEnd"/>
            <w:r w:rsidR="0071210B" w:rsidRPr="0071210B">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енергетичного обладнання електричних станцій та мереж;</w:t>
            </w:r>
          </w:p>
          <w:p w:rsidR="0071210B" w:rsidRPr="0071210B" w:rsidRDefault="00F71D8A"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0071210B" w:rsidRPr="0071210B">
              <w:rPr>
                <w:rFonts w:ascii="Times New Roman" w:eastAsia="Times New Roman" w:hAnsi="Times New Roman" w:cs="Times New Roman"/>
                <w:sz w:val="24"/>
                <w:szCs w:val="24"/>
                <w:lang w:val="uk-UA" w:eastAsia="ru-RU"/>
              </w:rPr>
              <w:t xml:space="preserve">щодо пріоритетності технічних рішень для підвищення рівня надійності та забезпечення ефективної роботи систем централізованого теплопостачання, передбачених </w:t>
            </w:r>
            <w:proofErr w:type="spellStart"/>
            <w:r w:rsidR="0071210B" w:rsidRPr="0071210B">
              <w:rPr>
                <w:rFonts w:ascii="Times New Roman" w:eastAsia="Times New Roman" w:hAnsi="Times New Roman" w:cs="Times New Roman"/>
                <w:sz w:val="24"/>
                <w:szCs w:val="24"/>
                <w:lang w:val="uk-UA" w:eastAsia="ru-RU"/>
              </w:rPr>
              <w:t>проєктами</w:t>
            </w:r>
            <w:proofErr w:type="spellEnd"/>
            <w:r w:rsidR="0071210B" w:rsidRPr="0071210B">
              <w:rPr>
                <w:rFonts w:ascii="Times New Roman" w:eastAsia="Times New Roman" w:hAnsi="Times New Roman" w:cs="Times New Roman"/>
                <w:sz w:val="24"/>
                <w:szCs w:val="24"/>
                <w:lang w:val="uk-UA" w:eastAsia="ru-RU"/>
              </w:rPr>
              <w:t xml:space="preserve"> інвестиційних програм суб'єктів відносин у сфері теплопостачання;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F71D8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комісії Міненерго з коригування термінів та обсягів ремонтів основного устаткування електричних станцій.</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71210B" w:rsidRPr="0071210B">
              <w:rPr>
                <w:rFonts w:ascii="Times New Roman" w:eastAsia="Times New Roman" w:hAnsi="Times New Roman" w:cs="Times New Roman"/>
                <w:sz w:val="24"/>
                <w:szCs w:val="24"/>
                <w:lang w:val="uk-UA" w:eastAsia="ru-RU"/>
              </w:rPr>
              <w:t>Проведення моніторингу безпеки постачання електричної та теплової енергії в Центральному регіоні за дорученням Міненерго та Голови Держенергонагляду.</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71210B" w:rsidRPr="0071210B">
              <w:rPr>
                <w:rFonts w:ascii="Times New Roman" w:eastAsia="Times New Roman" w:hAnsi="Times New Roman" w:cs="Times New Roman"/>
                <w:sz w:val="24"/>
                <w:szCs w:val="24"/>
                <w:lang w:val="uk-UA" w:eastAsia="ru-RU"/>
              </w:rPr>
              <w:t xml:space="preserve">Підготовка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71210B" w:rsidRPr="0071210B">
              <w:rPr>
                <w:rFonts w:ascii="Times New Roman" w:eastAsia="Times New Roman" w:hAnsi="Times New Roman" w:cs="Times New Roman"/>
                <w:sz w:val="24"/>
                <w:szCs w:val="24"/>
                <w:lang w:val="uk-UA" w:eastAsia="ru-RU"/>
              </w:rPr>
              <w:t>Організація розгляду звернень громадян, підприємств, установ та організацій, посадових осіб, запитів та звернень народних депутатів в межах компетенції відділу.</w:t>
            </w:r>
          </w:p>
          <w:p w:rsidR="00B15D37" w:rsidRPr="00D45230"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71210B" w:rsidRPr="0071210B">
              <w:rPr>
                <w:rFonts w:ascii="Times New Roman" w:eastAsia="Times New Roman" w:hAnsi="Times New Roman" w:cs="Times New Roman"/>
                <w:sz w:val="24"/>
                <w:szCs w:val="24"/>
                <w:lang w:val="uk-UA" w:eastAsia="ru-RU"/>
              </w:rPr>
              <w:t>Забезпечення виконання вимог наказів та доручень Голови Держенергонагляду,  директора Департаменту та заступників директора Департаменту.</w:t>
            </w:r>
          </w:p>
        </w:tc>
      </w:tr>
      <w:tr w:rsidR="00B15D37" w:rsidRPr="00D84C8C" w:rsidTr="00F71D8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CA2172">
              <w:rPr>
                <w:rFonts w:ascii="Times New Roman" w:eastAsia="Times New Roman" w:hAnsi="Times New Roman" w:cs="Times New Roman"/>
                <w:sz w:val="24"/>
                <w:szCs w:val="24"/>
                <w:lang w:val="uk-UA" w:eastAsia="ru-RU"/>
              </w:rPr>
              <w:t>11 000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F71D8A">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F71D8A"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F71D8A">
              <w:rPr>
                <w:rFonts w:ascii="Times New Roman" w:eastAsia="Times New Roman" w:hAnsi="Times New Roman" w:cs="Times New Roman"/>
                <w:sz w:val="24"/>
                <w:szCs w:val="24"/>
                <w:lang w:val="uk-UA" w:eastAsia="ru-RU"/>
              </w:rPr>
              <w:t>вого</w:t>
            </w:r>
            <w:proofErr w:type="spellEnd"/>
            <w:r w:rsidR="00F71D8A">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F71D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w:t>
            </w:r>
            <w:r w:rsidRPr="00AD19B1">
              <w:rPr>
                <w:rFonts w:ascii="Times New Roman" w:eastAsia="Times New Roman" w:hAnsi="Times New Roman" w:cs="Times New Roman"/>
                <w:sz w:val="24"/>
                <w:szCs w:val="24"/>
                <w:lang w:val="uk-UA" w:eastAsia="ru-RU"/>
              </w:rPr>
              <w:lastRenderedPageBreak/>
              <w:t>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731B0">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731B0">
              <w:rPr>
                <w:rFonts w:ascii="Times New Roman" w:eastAsia="Times New Roman" w:hAnsi="Times New Roman" w:cs="Times New Roman"/>
                <w:sz w:val="24"/>
                <w:szCs w:val="24"/>
                <w:lang w:val="uk-UA" w:eastAsia="ru-RU"/>
              </w:rPr>
              <w:t>лип</w:t>
            </w:r>
            <w:r w:rsidRPr="00CD5867">
              <w:rPr>
                <w:rFonts w:ascii="Times New Roman" w:eastAsia="Times New Roman" w:hAnsi="Times New Roman" w:cs="Times New Roman"/>
                <w:sz w:val="24"/>
                <w:szCs w:val="24"/>
                <w:lang w:val="uk-UA" w:eastAsia="ru-RU"/>
              </w:rPr>
              <w:t xml:space="preserve">ня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F71D8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F71D8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 xml:space="preserve">єктом призначення або керівником державної служби переможця (переможців) конкурсу (із зазначенням електронної платформи для </w:t>
            </w:r>
            <w:r w:rsidRPr="00072AE7">
              <w:rPr>
                <w:rFonts w:ascii="Times New Roman" w:hAnsi="Times New Roman" w:cs="Times New Roman"/>
                <w:sz w:val="24"/>
                <w:szCs w:val="24"/>
                <w:lang w:val="uk-UA" w:eastAsia="ru-RU"/>
              </w:rPr>
              <w:lastRenderedPageBreak/>
              <w:t>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731B0"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D84C8C" w:rsidTr="00F71D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117B40" w:rsidRDefault="00B06327" w:rsidP="00B0632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1C3886" w:rsidRPr="00117B40" w:rsidRDefault="00B06327"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 </w:t>
            </w:r>
            <w:r w:rsidR="001C3886"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F71D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F71D8A">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F71D8A">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F71D8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F71D8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F71D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F71D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F71D8A">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F71D8A">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F71D8A">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F71D8A">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F71D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F71D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F71D8A">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71D8A">
            <w:pPr>
              <w:spacing w:after="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F71D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F71D8A">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Знання:</w:t>
            </w:r>
          </w:p>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r w:rsidRPr="00AD19B1">
              <w:rPr>
                <w:rFonts w:ascii="Times New Roman" w:eastAsia="Times New Roman" w:hAnsi="Times New Roman" w:cs="Times New Roman"/>
                <w:sz w:val="24"/>
                <w:szCs w:val="24"/>
                <w:lang w:val="uk-UA" w:eastAsia="ru-RU"/>
              </w:rPr>
              <w:t>.</w:t>
            </w:r>
          </w:p>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3. Закону України «Про ринок електричної енергії».</w:t>
            </w:r>
          </w:p>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 xml:space="preserve">4. Положення про Державну інспекцію енергетичного </w:t>
            </w:r>
            <w:r>
              <w:rPr>
                <w:rFonts w:ascii="Times New Roman" w:eastAsia="Times New Roman" w:hAnsi="Times New Roman" w:cs="Times New Roman"/>
                <w:sz w:val="24"/>
                <w:szCs w:val="24"/>
                <w:lang w:val="uk-UA" w:eastAsia="ru-RU"/>
              </w:rPr>
              <w:t>нагляду України, затвердженого</w:t>
            </w:r>
            <w:r w:rsidRPr="00CA2172">
              <w:rPr>
                <w:rFonts w:ascii="Times New Roman" w:eastAsia="Times New Roman" w:hAnsi="Times New Roman" w:cs="Times New Roman"/>
                <w:sz w:val="24"/>
                <w:szCs w:val="24"/>
                <w:lang w:val="uk-UA" w:eastAsia="ru-RU"/>
              </w:rPr>
              <w:t xml:space="preserve"> постановою Кабінету Міністрів України від 14</w:t>
            </w:r>
            <w:r w:rsidRPr="009900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лютого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77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(зі змінами).</w:t>
            </w:r>
          </w:p>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5. Наказу Міністерства палива та енергетики України від 13</w:t>
            </w:r>
            <w:r>
              <w:rPr>
                <w:rFonts w:ascii="Times New Roman" w:eastAsia="Times New Roman" w:hAnsi="Times New Roman" w:cs="Times New Roman"/>
                <w:sz w:val="24"/>
                <w:szCs w:val="24"/>
                <w:lang w:val="uk-UA" w:eastAsia="ru-RU"/>
              </w:rPr>
              <w:t xml:space="preserve"> червня </w:t>
            </w:r>
            <w:r w:rsidRPr="00CA2172">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 (зі змінами).</w:t>
            </w:r>
          </w:p>
          <w:p w:rsidR="00F71D8A" w:rsidRPr="00CA2172"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6. Правил про безпеку постачання електричної енергії, затверджен</w:t>
            </w:r>
            <w:r>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27</w:t>
            </w:r>
            <w:r>
              <w:rPr>
                <w:rFonts w:ascii="Times New Roman" w:eastAsia="Times New Roman" w:hAnsi="Times New Roman" w:cs="Times New Roman"/>
                <w:sz w:val="24"/>
                <w:szCs w:val="24"/>
                <w:lang w:val="uk-UA" w:eastAsia="ru-RU"/>
              </w:rPr>
              <w:t xml:space="preserve"> серпня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w:t>
            </w:r>
            <w:r w:rsidRPr="00CA2172">
              <w:rPr>
                <w:rFonts w:ascii="Times New Roman" w:eastAsia="Times New Roman" w:hAnsi="Times New Roman" w:cs="Times New Roman"/>
                <w:sz w:val="24"/>
                <w:szCs w:val="24"/>
                <w:lang w:val="uk-UA" w:eastAsia="ru-RU"/>
              </w:rPr>
              <w:t>448</w:t>
            </w:r>
            <w:r>
              <w:rPr>
                <w:rFonts w:ascii="Times New Roman" w:eastAsia="Times New Roman" w:hAnsi="Times New Roman" w:cs="Times New Roman"/>
                <w:sz w:val="24"/>
                <w:szCs w:val="24"/>
                <w:lang w:val="uk-UA" w:eastAsia="ru-RU"/>
              </w:rPr>
              <w:t>, зареєстрованих</w:t>
            </w:r>
            <w:r w:rsidRPr="00CA2172">
              <w:rPr>
                <w:rFonts w:ascii="Times New Roman" w:eastAsia="Times New Roman" w:hAnsi="Times New Roman" w:cs="Times New Roman"/>
                <w:sz w:val="24"/>
                <w:szCs w:val="24"/>
                <w:lang w:val="uk-UA" w:eastAsia="ru-RU"/>
              </w:rPr>
              <w:t xml:space="preserve"> в Міністерстві юстиції України 19</w:t>
            </w:r>
            <w:r>
              <w:rPr>
                <w:rFonts w:ascii="Times New Roman" w:eastAsia="Times New Roman" w:hAnsi="Times New Roman" w:cs="Times New Roman"/>
                <w:sz w:val="24"/>
                <w:szCs w:val="24"/>
                <w:lang w:val="uk-UA" w:eastAsia="ru-RU"/>
              </w:rPr>
              <w:t xml:space="preserve"> вересня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 xml:space="preserve">за № 1076/32528.  </w:t>
            </w:r>
          </w:p>
          <w:p w:rsidR="00CA2172" w:rsidRPr="00AD19B1" w:rsidRDefault="00F71D8A" w:rsidP="00F71D8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7. Правил улаштування електроустановок, затверджен</w:t>
            </w:r>
            <w:r>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Pr="00CA2172">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Pr="00CA2172">
              <w:rPr>
                <w:rFonts w:ascii="Times New Roman" w:eastAsia="Times New Roman" w:hAnsi="Times New Roman" w:cs="Times New Roman"/>
                <w:sz w:val="24"/>
                <w:szCs w:val="24"/>
                <w:lang w:val="uk-UA" w:eastAsia="ru-RU"/>
              </w:rPr>
              <w:t>№ 476.</w:t>
            </w:r>
          </w:p>
        </w:tc>
      </w:tr>
    </w:tbl>
    <w:p w:rsidR="00D84C8C" w:rsidRDefault="00D84C8C" w:rsidP="00D84C8C">
      <w:pPr>
        <w:rPr>
          <w:rFonts w:ascii="Times New Roman" w:hAnsi="Times New Roman" w:cs="Times New Roman"/>
          <w:sz w:val="24"/>
          <w:szCs w:val="24"/>
          <w:lang w:val="uk-UA"/>
        </w:rPr>
      </w:pPr>
      <w:bookmarkStart w:id="3" w:name="n767"/>
      <w:bookmarkEnd w:id="3"/>
    </w:p>
    <w:p w:rsidR="00D84C8C" w:rsidRPr="00DD0C47" w:rsidRDefault="00D84C8C" w:rsidP="00D84C8C">
      <w:pPr>
        <w:rPr>
          <w:rFonts w:ascii="Times New Roman" w:hAnsi="Times New Roman" w:cs="Times New Roman"/>
          <w:sz w:val="24"/>
          <w:szCs w:val="24"/>
          <w:lang w:val="uk-UA"/>
        </w:rPr>
      </w:pPr>
    </w:p>
    <w:p w:rsidR="00D84C8C" w:rsidRPr="002F06E0" w:rsidRDefault="00D84C8C" w:rsidP="00D84C8C">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D84C8C" w:rsidRPr="002F06E0" w:rsidRDefault="00D84C8C" w:rsidP="00D84C8C">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D84C8C" w:rsidRDefault="009556E0" w:rsidP="00D84C8C">
      <w:pPr>
        <w:jc w:val="center"/>
        <w:rPr>
          <w:rFonts w:ascii="Times New Roman" w:hAnsi="Times New Roman" w:cs="Times New Roman"/>
          <w:sz w:val="24"/>
          <w:szCs w:val="24"/>
        </w:rPr>
      </w:pPr>
    </w:p>
    <w:sectPr w:rsidR="009556E0" w:rsidRPr="00D84C8C"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31B0"/>
    <w:rsid w:val="00074855"/>
    <w:rsid w:val="00077F91"/>
    <w:rsid w:val="0008115E"/>
    <w:rsid w:val="000F520E"/>
    <w:rsid w:val="00104071"/>
    <w:rsid w:val="0011743F"/>
    <w:rsid w:val="00117B40"/>
    <w:rsid w:val="001C3886"/>
    <w:rsid w:val="0026089C"/>
    <w:rsid w:val="00261F60"/>
    <w:rsid w:val="002805BC"/>
    <w:rsid w:val="00295698"/>
    <w:rsid w:val="002A4043"/>
    <w:rsid w:val="002B07CF"/>
    <w:rsid w:val="002B6D79"/>
    <w:rsid w:val="002B6F18"/>
    <w:rsid w:val="00321076"/>
    <w:rsid w:val="0034320A"/>
    <w:rsid w:val="00346727"/>
    <w:rsid w:val="00351003"/>
    <w:rsid w:val="003826EB"/>
    <w:rsid w:val="003E2C5A"/>
    <w:rsid w:val="003E695F"/>
    <w:rsid w:val="00431680"/>
    <w:rsid w:val="00441E9A"/>
    <w:rsid w:val="00494148"/>
    <w:rsid w:val="004A5DA1"/>
    <w:rsid w:val="004F45AD"/>
    <w:rsid w:val="005641C6"/>
    <w:rsid w:val="00583B11"/>
    <w:rsid w:val="0059573E"/>
    <w:rsid w:val="005A6612"/>
    <w:rsid w:val="005B344F"/>
    <w:rsid w:val="005D27AB"/>
    <w:rsid w:val="005F48A6"/>
    <w:rsid w:val="00624B67"/>
    <w:rsid w:val="0064119F"/>
    <w:rsid w:val="00647A7A"/>
    <w:rsid w:val="00692C7D"/>
    <w:rsid w:val="006A3678"/>
    <w:rsid w:val="0071210B"/>
    <w:rsid w:val="007218D9"/>
    <w:rsid w:val="0073119A"/>
    <w:rsid w:val="007B0B4F"/>
    <w:rsid w:val="007C25B9"/>
    <w:rsid w:val="007E5B2E"/>
    <w:rsid w:val="008002DA"/>
    <w:rsid w:val="00856FC7"/>
    <w:rsid w:val="00873359"/>
    <w:rsid w:val="00874497"/>
    <w:rsid w:val="00900966"/>
    <w:rsid w:val="0091247B"/>
    <w:rsid w:val="009311C9"/>
    <w:rsid w:val="0094711D"/>
    <w:rsid w:val="009511AF"/>
    <w:rsid w:val="009556E0"/>
    <w:rsid w:val="00956A2E"/>
    <w:rsid w:val="0097380E"/>
    <w:rsid w:val="009A0BCA"/>
    <w:rsid w:val="009C1584"/>
    <w:rsid w:val="009C48AC"/>
    <w:rsid w:val="009C6440"/>
    <w:rsid w:val="009E035F"/>
    <w:rsid w:val="00A17064"/>
    <w:rsid w:val="00A475DE"/>
    <w:rsid w:val="00A71301"/>
    <w:rsid w:val="00A9327E"/>
    <w:rsid w:val="00A96562"/>
    <w:rsid w:val="00AA35D8"/>
    <w:rsid w:val="00AD19B1"/>
    <w:rsid w:val="00AE52F4"/>
    <w:rsid w:val="00B06327"/>
    <w:rsid w:val="00B15D37"/>
    <w:rsid w:val="00B37117"/>
    <w:rsid w:val="00B54E49"/>
    <w:rsid w:val="00B56368"/>
    <w:rsid w:val="00B87886"/>
    <w:rsid w:val="00BA1EF8"/>
    <w:rsid w:val="00BA3EBD"/>
    <w:rsid w:val="00BE2160"/>
    <w:rsid w:val="00BE6BCA"/>
    <w:rsid w:val="00C0303C"/>
    <w:rsid w:val="00C10B62"/>
    <w:rsid w:val="00C415C6"/>
    <w:rsid w:val="00C51AE5"/>
    <w:rsid w:val="00C543C2"/>
    <w:rsid w:val="00C60CC1"/>
    <w:rsid w:val="00C64771"/>
    <w:rsid w:val="00CA2172"/>
    <w:rsid w:val="00CB0CDE"/>
    <w:rsid w:val="00CD39CD"/>
    <w:rsid w:val="00CD5867"/>
    <w:rsid w:val="00CD7C7B"/>
    <w:rsid w:val="00CF086E"/>
    <w:rsid w:val="00CF1D03"/>
    <w:rsid w:val="00D0377C"/>
    <w:rsid w:val="00D45230"/>
    <w:rsid w:val="00D45CFC"/>
    <w:rsid w:val="00D63FC8"/>
    <w:rsid w:val="00D84C8C"/>
    <w:rsid w:val="00D9180F"/>
    <w:rsid w:val="00DA6A9F"/>
    <w:rsid w:val="00DB1CEF"/>
    <w:rsid w:val="00DB77DE"/>
    <w:rsid w:val="00DC7852"/>
    <w:rsid w:val="00DD180A"/>
    <w:rsid w:val="00DD6E4A"/>
    <w:rsid w:val="00DE5C5E"/>
    <w:rsid w:val="00DF545F"/>
    <w:rsid w:val="00E40CB4"/>
    <w:rsid w:val="00EB41D3"/>
    <w:rsid w:val="00ED29BA"/>
    <w:rsid w:val="00EE3967"/>
    <w:rsid w:val="00F0430A"/>
    <w:rsid w:val="00F5341F"/>
    <w:rsid w:val="00F6300B"/>
    <w:rsid w:val="00F71D8A"/>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561">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78778547">
      <w:bodyDiv w:val="1"/>
      <w:marLeft w:val="0"/>
      <w:marRight w:val="0"/>
      <w:marTop w:val="0"/>
      <w:marBottom w:val="0"/>
      <w:divBdr>
        <w:top w:val="none" w:sz="0" w:space="0" w:color="auto"/>
        <w:left w:val="none" w:sz="0" w:space="0" w:color="auto"/>
        <w:bottom w:val="none" w:sz="0" w:space="0" w:color="auto"/>
        <w:right w:val="none" w:sz="0" w:space="0" w:color="auto"/>
      </w:divBdr>
    </w:div>
    <w:div w:id="1394965233">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571621389">
      <w:bodyDiv w:val="1"/>
      <w:marLeft w:val="0"/>
      <w:marRight w:val="0"/>
      <w:marTop w:val="0"/>
      <w:marBottom w:val="0"/>
      <w:divBdr>
        <w:top w:val="none" w:sz="0" w:space="0" w:color="auto"/>
        <w:left w:val="none" w:sz="0" w:space="0" w:color="auto"/>
        <w:bottom w:val="none" w:sz="0" w:space="0" w:color="auto"/>
        <w:right w:val="none" w:sz="0" w:space="0" w:color="auto"/>
      </w:divBdr>
    </w:div>
    <w:div w:id="17853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6</Pages>
  <Words>7293</Words>
  <Characters>4158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106</cp:revision>
  <cp:lastPrinted>2021-03-22T09:52:00Z</cp:lastPrinted>
  <dcterms:created xsi:type="dcterms:W3CDTF">2021-03-22T11:00:00Z</dcterms:created>
  <dcterms:modified xsi:type="dcterms:W3CDTF">2021-07-02T08:45:00Z</dcterms:modified>
</cp:coreProperties>
</file>