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E5" w:rsidRDefault="00DD49E5" w:rsidP="00DD4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Аналітична інформація стосовно розгляду </w:t>
      </w:r>
      <w:r w:rsidR="008C5A7B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Держенергонаглядом </w:t>
      </w:r>
      <w:r w:rsidR="00E729A2" w:rsidRPr="00E729A2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звернень щодо спірних питань з приєднання до електромереж</w:t>
      </w:r>
      <w:r w:rsidRPr="00DD49E5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</w:p>
    <w:p w:rsidR="00E729A2" w:rsidRPr="00E729A2" w:rsidRDefault="00DD49E5" w:rsidP="00DD4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у І</w:t>
      </w:r>
      <w:r w:rsidR="00675727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І</w:t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кварталі </w:t>
      </w:r>
      <w:r w:rsidRPr="00E729A2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1</w:t>
      </w:r>
      <w:r w:rsidRPr="00E729A2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о</w:t>
      </w:r>
      <w:r w:rsidRPr="00E729A2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у</w:t>
      </w:r>
    </w:p>
    <w:p w:rsidR="00E729A2" w:rsidRDefault="009F28D1" w:rsidP="00E729A2">
      <w:pPr>
        <w:shd w:val="clear" w:color="auto" w:fill="FFFFFF"/>
        <w:spacing w:before="100" w:beforeAutospacing="1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C5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6757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8C5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кварталі 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8C5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</w:t>
      </w:r>
      <w:r w:rsidR="008C5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Держенергонагляд</w:t>
      </w:r>
      <w:r w:rsid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його територіальні органи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розгляну</w:t>
      </w:r>
      <w:r w:rsid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57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6757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85</w:t>
      </w:r>
      <w:r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 від громадян та </w:t>
      </w:r>
      <w:r w:rsidR="006757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</w:t>
      </w:r>
      <w:r w:rsidR="006757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юридичних осіб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стосовно</w:t>
      </w:r>
      <w:r w:rsid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спірних питань з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приєднання електричних установок замовник</w:t>
      </w:r>
      <w:r w:rsid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електричних мереж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228A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оператор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ів</w:t>
      </w:r>
      <w:r w:rsidRPr="00E228A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систем розподілу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(ОСР)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Безпосередньо до територіальних органів надійшло </w:t>
      </w:r>
      <w:r w:rsidR="006757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35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</w:t>
      </w:r>
      <w:r w:rsidR="006757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45B34" w:rsidRDefault="00C45B34" w:rsidP="00C45B34">
      <w:pPr>
        <w:shd w:val="clear" w:color="auto" w:fill="FFFFFF"/>
        <w:spacing w:before="100"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Найбільше звернень надійшло та було розглянуто наступними територіальним органами Держенергонагляду:</w:t>
      </w:r>
    </w:p>
    <w:p w:rsidR="008B7A38" w:rsidRPr="00675727" w:rsidRDefault="00675727" w:rsidP="008B7A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32 звернення</w:t>
      </w:r>
      <w:r w:rsidR="008B7A3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– </w:t>
      </w:r>
      <w:r w:rsidR="008B7A38" w:rsidRPr="00C45B3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Управління</w:t>
      </w:r>
      <w:r w:rsidR="008B7A3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м</w:t>
      </w:r>
      <w:r w:rsidR="008B7A38" w:rsidRPr="00C45B3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Держенергонагляду у </w:t>
      </w:r>
      <w:r w:rsidR="008B7A3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Київс</w:t>
      </w:r>
      <w:r w:rsidR="008B7A38" w:rsidRPr="00C45B3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ькій області</w:t>
      </w:r>
      <w:r w:rsidR="008B7A3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:rsidR="00675727" w:rsidRPr="00675727" w:rsidRDefault="00675727" w:rsidP="006757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572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11 звернень – Управлінням Держенергонагляду у м. Києві;</w:t>
      </w:r>
    </w:p>
    <w:p w:rsidR="00675727" w:rsidRPr="00675727" w:rsidRDefault="00675727" w:rsidP="006757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572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11 звернень – Управлінням Держенергонагляду у Запорізькій області;</w:t>
      </w:r>
    </w:p>
    <w:p w:rsidR="00675727" w:rsidRPr="00675727" w:rsidRDefault="00675727" w:rsidP="006757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572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10 звернень – Управлінням Держенергонагляду у Сумській області;</w:t>
      </w:r>
    </w:p>
    <w:p w:rsidR="00675727" w:rsidRPr="00675727" w:rsidRDefault="00675727" w:rsidP="006757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572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8 звернень – Управлінням Держенергонагляду у Харківській області;</w:t>
      </w:r>
    </w:p>
    <w:p w:rsidR="00675727" w:rsidRPr="00675727" w:rsidRDefault="00675727" w:rsidP="006757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572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7 звернень – Управлінням Держенергонагляду у Че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р</w:t>
      </w:r>
      <w:r w:rsidRPr="0067572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нігівській області;</w:t>
      </w:r>
    </w:p>
    <w:p w:rsidR="00675727" w:rsidRPr="00675727" w:rsidRDefault="00675727" w:rsidP="006757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572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6 звернень – Управлінням Держенергонагляду у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Закарпатській</w:t>
      </w:r>
      <w:r w:rsidRPr="0067572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області;</w:t>
      </w:r>
    </w:p>
    <w:p w:rsidR="00675727" w:rsidRPr="004178B8" w:rsidRDefault="00675727" w:rsidP="006757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5 звернень – Управлінням Держенергонагляду у Дніпропетровській області;</w:t>
      </w:r>
    </w:p>
    <w:p w:rsidR="00675727" w:rsidRPr="004178B8" w:rsidRDefault="00675727" w:rsidP="006757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5 звернень – Управлінням Держенергонагляду в Одеській області</w:t>
      </w:r>
    </w:p>
    <w:p w:rsidR="00675727" w:rsidRPr="004178B8" w:rsidRDefault="00675727" w:rsidP="003B64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5</w:t>
      </w:r>
      <w:r w:rsidR="00623A5F"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звернень – Управлінням Держенергонагляду у Полтавській області</w:t>
      </w:r>
      <w:r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.</w:t>
      </w:r>
    </w:p>
    <w:p w:rsidR="00C45B34" w:rsidRPr="004178B8" w:rsidRDefault="00C45B34" w:rsidP="005F62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729A2" w:rsidRPr="004178B8" w:rsidRDefault="00E729A2" w:rsidP="005F62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78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тематикою питань звернення стосувалися:</w:t>
      </w:r>
    </w:p>
    <w:p w:rsidR="009551BC" w:rsidRPr="00BA6298" w:rsidRDefault="009551BC" w:rsidP="00000D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178B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недотримання строків виконання робіт з приєднання</w:t>
      </w:r>
      <w:r w:rsidR="00D832E7" w:rsidRPr="004178B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, які обумовлені договорами – 39</w:t>
      </w:r>
      <w:r w:rsidRPr="004178B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звернень</w:t>
      </w:r>
      <w:r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(АТ «Вінницяобленерго», </w:t>
      </w:r>
      <w:r w:rsidR="00D832E7"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АТ «ДТЕК Дніпровські електромережі», АТ «ДТЕК Донецькі електромережі», </w:t>
      </w:r>
      <w:r w:rsid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="00D832E7"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ПАТ «</w:t>
      </w:r>
      <w:proofErr w:type="spellStart"/>
      <w:r w:rsidR="00D832E7"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Запоріжжяобленерго</w:t>
      </w:r>
      <w:proofErr w:type="spellEnd"/>
      <w:r w:rsidR="00D832E7"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АТ «</w:t>
      </w:r>
      <w:proofErr w:type="spellStart"/>
      <w:r w:rsidR="00D832E7"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Прикарпаттяобленерго</w:t>
      </w:r>
      <w:proofErr w:type="spellEnd"/>
      <w:r w:rsidR="00D832E7"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</w:t>
      </w:r>
      <w:r w:rsidR="004178B8"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,</w:t>
      </w:r>
      <w:r w:rsidR="00D832E7"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ПрАТ «ДТЕК Київські електромережі», </w:t>
      </w:r>
      <w:r w:rsidR="004178B8"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АТ «Укрзалізниця», </w:t>
      </w:r>
      <w:r w:rsidRPr="004178B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ПрАТ «ДТЕК Київські регіональні електр</w:t>
      </w:r>
      <w:r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омережі», АТ «ДТЕК Одеські електромережі», </w:t>
      </w:r>
      <w:r w:rsidR="004178B8"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АТ «</w:t>
      </w:r>
      <w:proofErr w:type="spellStart"/>
      <w:r w:rsidR="004178B8"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Сумиобленерго</w:t>
      </w:r>
      <w:proofErr w:type="spellEnd"/>
      <w:r w:rsidR="004178B8"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«Хмельницькобленерго», АТ «</w:t>
      </w:r>
      <w:proofErr w:type="spellStart"/>
      <w:r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Чернігівобленерго</w:t>
      </w:r>
      <w:proofErr w:type="spellEnd"/>
      <w:r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»);</w:t>
      </w:r>
    </w:p>
    <w:p w:rsidR="004178B8" w:rsidRPr="00BA6298" w:rsidRDefault="004178B8" w:rsidP="00000D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BA629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відмови оператора системи розподілу (ОСР) в прийнятті заяви про приєднання до системи розподілу – 27 звернень</w:t>
      </w:r>
      <w:r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(ПрАТ «</w:t>
      </w:r>
      <w:proofErr w:type="spellStart"/>
      <w:r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Закарпаттяобленерго</w:t>
      </w:r>
      <w:proofErr w:type="spellEnd"/>
      <w:r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ПрАТ «ДТЕК Київські електромережі», </w:t>
      </w:r>
      <w:r w:rsid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="00BA6298"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АТ «Укрзалізниця», </w:t>
      </w:r>
      <w:r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ПрАТ «ДТЕК Київські регіональні електромережі», </w:t>
      </w:r>
      <w:r w:rsid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="00BA6298"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ПрАТ «</w:t>
      </w:r>
      <w:proofErr w:type="spellStart"/>
      <w:r w:rsidR="00BA6298"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Львівобленерго</w:t>
      </w:r>
      <w:proofErr w:type="spellEnd"/>
      <w:r w:rsidR="00BA6298"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АТ «Миколаївобленерго», </w:t>
      </w:r>
      <w:r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АТ «Харківобленерго», </w:t>
      </w:r>
      <w:r w:rsid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</w:t>
      </w:r>
      <w:proofErr w:type="spellStart"/>
      <w:r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Херсонобленерго</w:t>
      </w:r>
      <w:proofErr w:type="spellEnd"/>
      <w:r w:rsidRPr="00BA629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»);</w:t>
      </w:r>
    </w:p>
    <w:p w:rsidR="009551BC" w:rsidRPr="00C50BEB" w:rsidRDefault="009551BC" w:rsidP="00000D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обґрунтованості вимог технічних умов, які не задовольняють замовника – 1</w:t>
      </w:r>
      <w:r w:rsidR="00CD66E4"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7</w:t>
      </w:r>
      <w:r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звернень</w:t>
      </w:r>
      <w:r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(</w:t>
      </w:r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ПАТ «</w:t>
      </w:r>
      <w:proofErr w:type="spellStart"/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Запоріжжяобленерго</w:t>
      </w:r>
      <w:proofErr w:type="spellEnd"/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ПрАТ «ДТЕК Київські електромережі», ПрАТ «ДТЕК Київські регіональні електромережі», </w:t>
      </w:r>
      <w:r w:rsid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ПрАТ «</w:t>
      </w:r>
      <w:proofErr w:type="spellStart"/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Кіровоградобленерго</w:t>
      </w:r>
      <w:proofErr w:type="spellEnd"/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ПрАТ «</w:t>
      </w:r>
      <w:proofErr w:type="spellStart"/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Львівобленерго</w:t>
      </w:r>
      <w:proofErr w:type="spellEnd"/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АТ «Укрзалізниця», </w:t>
      </w:r>
      <w:r w:rsid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</w:t>
      </w:r>
      <w:proofErr w:type="spellStart"/>
      <w:r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Полтаваобленерго</w:t>
      </w:r>
      <w:proofErr w:type="spellEnd"/>
      <w:r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</w:t>
      </w:r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</w:t>
      </w:r>
      <w:proofErr w:type="spellStart"/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Суми</w:t>
      </w:r>
      <w:r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обленерго</w:t>
      </w:r>
      <w:proofErr w:type="spellEnd"/>
      <w:r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»);</w:t>
      </w:r>
    </w:p>
    <w:p w:rsidR="009551BC" w:rsidRPr="00C50BEB" w:rsidRDefault="009551BC" w:rsidP="00000D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порушення ОСР строку розробки та надання замовникам договорів про п</w:t>
      </w:r>
      <w:r w:rsidR="00C50BEB"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риєднання та технічних умов – 9</w:t>
      </w:r>
      <w:r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звернень </w:t>
      </w:r>
      <w:r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(</w:t>
      </w:r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АТ «ДТЕК Дніпровські електромережі», ПрАТ «ДТЕК Київські регіональні електромережі», </w:t>
      </w:r>
      <w:r w:rsid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</w:t>
      </w:r>
      <w:proofErr w:type="spellStart"/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Сумиобленерго</w:t>
      </w:r>
      <w:proofErr w:type="spellEnd"/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АТ «Харківобленерго»</w:t>
      </w:r>
      <w:r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);</w:t>
      </w:r>
    </w:p>
    <w:p w:rsidR="00E729A2" w:rsidRPr="00C50BEB" w:rsidRDefault="00E228A7" w:rsidP="003E3C2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lastRenderedPageBreak/>
        <w:t xml:space="preserve">не погодження ОСР </w:t>
      </w:r>
      <w:proofErr w:type="spellStart"/>
      <w:r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проєктної</w:t>
      </w:r>
      <w:proofErr w:type="spellEnd"/>
      <w:r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документації, розробленої сторонньою </w:t>
      </w:r>
      <w:proofErr w:type="spellStart"/>
      <w:r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проєктною</w:t>
      </w:r>
      <w:proofErr w:type="spellEnd"/>
      <w:r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організацією для замовника</w:t>
      </w:r>
      <w:r w:rsidR="009F28D1"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–</w:t>
      </w:r>
      <w:r w:rsidR="008C5A7B"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C50BEB"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4</w:t>
      </w:r>
      <w:r w:rsidR="003E3C2C"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</w:t>
      </w:r>
      <w:r w:rsidR="00C50BEB"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ня</w:t>
      </w:r>
      <w:r w:rsidR="003E3C2C" w:rsidRPr="00C50B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3E3C2C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(АТ «ДТЕК Дніпровські електромережі»,</w:t>
      </w:r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АТ «</w:t>
      </w:r>
      <w:proofErr w:type="spellStart"/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Сумиобленерго</w:t>
      </w:r>
      <w:proofErr w:type="spellEnd"/>
      <w:r w:rsidR="00C50BEB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</w:t>
      </w:r>
      <w:r w:rsidR="003E3C2C"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</w:t>
      </w:r>
      <w:r w:rsidRPr="00C50B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:rsidR="00E228A7" w:rsidRPr="00754A57" w:rsidRDefault="00E228A7" w:rsidP="00BA7F06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754A5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з інших питань</w:t>
      </w:r>
      <w:r w:rsidR="00B83797" w:rsidRPr="00754A5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(</w:t>
      </w:r>
      <w:r w:rsidR="00206CD8" w:rsidRPr="00754A5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приєднання вбудованих приміщень до електричних мереж ОСР; відмова споживача у приєднанні до власних мереж </w:t>
      </w:r>
      <w:proofErr w:type="spellStart"/>
      <w:r w:rsidR="00206CD8" w:rsidRPr="00754A5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субспоживачу</w:t>
      </w:r>
      <w:proofErr w:type="spellEnd"/>
      <w:r w:rsidR="00206CD8" w:rsidRPr="00754A5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; приєднання до електромереж ОСР житлового будинку на території садового товариства; </w:t>
      </w:r>
      <w:r w:rsidR="00754A57" w:rsidRPr="00754A5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можливості приєднання електроустановок, які знаходяться на території, що підлягає комплексній забудові)</w:t>
      </w:r>
      <w:r w:rsidR="009F28D1" w:rsidRPr="00754A5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–</w:t>
      </w:r>
      <w:r w:rsidRPr="00754A5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C50BEB" w:rsidRPr="00754A5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21</w:t>
      </w:r>
      <w:r w:rsidRPr="00754A5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</w:t>
      </w:r>
      <w:r w:rsidR="00C50BEB" w:rsidRPr="00754A5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ня</w:t>
      </w:r>
      <w:r w:rsidR="00ED463C" w:rsidRPr="00754A5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ED463C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(</w:t>
      </w:r>
      <w:r w:rsidR="00E9525B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«ДТ</w:t>
      </w:r>
      <w:r w:rsidR="00B83797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ЕК Дніпровські електромережі», </w:t>
      </w:r>
      <w:r w:rsidR="00E9525B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</w:t>
      </w:r>
      <w:proofErr w:type="spellStart"/>
      <w:r w:rsidR="00E9525B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Житомиробленерго</w:t>
      </w:r>
      <w:proofErr w:type="spellEnd"/>
      <w:r w:rsidR="00E9525B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ПАТ «</w:t>
      </w:r>
      <w:proofErr w:type="spellStart"/>
      <w:r w:rsidR="00E9525B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Запоріжжяобленерго</w:t>
      </w:r>
      <w:proofErr w:type="spellEnd"/>
      <w:r w:rsidR="00E9525B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ПрАТ «ДТЕК Київські електромережі», </w:t>
      </w:r>
      <w:r w:rsidR="00C50BEB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АТ «Укрзалізниця», </w:t>
      </w:r>
      <w:r w:rsidR="00E9525B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ПрАТ «ДТЕК Київсь</w:t>
      </w:r>
      <w:r w:rsidR="00B83797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кі регіональні електромережі», </w:t>
      </w:r>
      <w:r w:rsidR="005154B0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«ДТЕК Одеські електромережі», АТ «</w:t>
      </w:r>
      <w:proofErr w:type="spellStart"/>
      <w:r w:rsidR="005154B0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Полтаваобленерго</w:t>
      </w:r>
      <w:proofErr w:type="spellEnd"/>
      <w:r w:rsidR="005154B0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="00E9525B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«Харківобленерго», АТ «Хмельницькобленерго»</w:t>
      </w:r>
      <w:r w:rsidR="005154B0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, АТ «</w:t>
      </w:r>
      <w:proofErr w:type="spellStart"/>
      <w:r w:rsidR="005154B0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Чернівціобленерго</w:t>
      </w:r>
      <w:proofErr w:type="spellEnd"/>
      <w:r w:rsidR="005154B0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АТ «</w:t>
      </w:r>
      <w:proofErr w:type="spellStart"/>
      <w:r w:rsidR="005154B0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Чернігівобленерго</w:t>
      </w:r>
      <w:proofErr w:type="spellEnd"/>
      <w:r w:rsidR="005154B0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</w:t>
      </w:r>
      <w:r w:rsidR="00ED463C"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</w:t>
      </w:r>
      <w:r w:rsidRPr="00754A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.</w:t>
      </w:r>
    </w:p>
    <w:p w:rsidR="00E228A7" w:rsidRPr="006D0A3C" w:rsidRDefault="00E228A7" w:rsidP="005F62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729A2" w:rsidRPr="006D0A3C" w:rsidRDefault="00E729A2" w:rsidP="005F62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0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Результати розгляду </w:t>
      </w:r>
      <w:r w:rsidR="009F28D1" w:rsidRPr="006D0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звернень</w:t>
      </w:r>
      <w:r w:rsidRPr="006D0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Держенергонагляд</w:t>
      </w:r>
      <w:r w:rsidR="00E228A7" w:rsidRPr="006D0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 </w:t>
      </w:r>
      <w:r w:rsidRPr="006D0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E228A7" w:rsidRPr="006D0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Pr="006D0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територіальним</w:t>
      </w:r>
      <w:r w:rsidR="00E228A7" w:rsidRPr="006D0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6D0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органам</w:t>
      </w:r>
      <w:r w:rsidR="00E228A7" w:rsidRPr="006D0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6D0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E729A2" w:rsidRPr="00307DA6" w:rsidRDefault="00E729A2" w:rsidP="005F62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6D0A3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вирішено на користь заявників </w:t>
      </w:r>
      <w:r w:rsidR="00183EDE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(АТ «Вінницяобленерго», АТ «ДТЕК Дніпровські електромережі», </w:t>
      </w:r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АТ «ДТЕК Донецькі електромережі», </w:t>
      </w:r>
      <w:r w:rsidR="001E0C5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ПрАТ «</w:t>
      </w:r>
      <w:proofErr w:type="spellStart"/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Закарпаттяобленерго</w:t>
      </w:r>
      <w:proofErr w:type="spellEnd"/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="00183EDE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ПАТ «</w:t>
      </w:r>
      <w:proofErr w:type="spellStart"/>
      <w:r w:rsidR="00183EDE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Запоріжжяобленерго</w:t>
      </w:r>
      <w:proofErr w:type="spellEnd"/>
      <w:r w:rsidR="00183EDE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</w:t>
      </w:r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1E0C5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</w:t>
      </w:r>
      <w:proofErr w:type="spellStart"/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Прикарпаттяобленерго</w:t>
      </w:r>
      <w:proofErr w:type="spellEnd"/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="00183EDE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ПрАТ «ДТЕК Київські електромережі»,</w:t>
      </w:r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1E0C5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«Укрзалізниця», ПрАТ «</w:t>
      </w:r>
      <w:proofErr w:type="spellStart"/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Кіровоградобленерго</w:t>
      </w:r>
      <w:proofErr w:type="spellEnd"/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="00183EDE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«ДТЕК Одеські електромережі»,</w:t>
      </w:r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АТ «</w:t>
      </w:r>
      <w:proofErr w:type="spellStart"/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Полтаваобленерго</w:t>
      </w:r>
      <w:proofErr w:type="spellEnd"/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="00183EDE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</w:t>
      </w:r>
      <w:proofErr w:type="spellStart"/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Сумиобленерго</w:t>
      </w:r>
      <w:proofErr w:type="spellEnd"/>
      <w:r w:rsidR="006D0A3C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</w:t>
      </w:r>
      <w:r w:rsidR="00183EDE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</w:t>
      </w:r>
      <w:r w:rsidR="001E0C5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="00183EDE" w:rsidRPr="006D0A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</w:t>
      </w:r>
      <w:r w:rsidR="00183EDE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Харківобленерго», АТ «</w:t>
      </w:r>
      <w:proofErr w:type="spellStart"/>
      <w:r w:rsidR="00183EDE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Чернігівобленерго</w:t>
      </w:r>
      <w:proofErr w:type="spellEnd"/>
      <w:r w:rsidR="00183EDE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»)</w:t>
      </w:r>
      <w:r w:rsidR="00183EDE"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– </w:t>
      </w:r>
      <w:r w:rsidR="003C1782"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34</w:t>
      </w:r>
      <w:r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434131"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звернен</w:t>
      </w:r>
      <w:r w:rsidR="003C1782"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ня</w:t>
      </w:r>
      <w:r w:rsidR="00434131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607928"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або 2</w:t>
      </w:r>
      <w:r w:rsidR="003C1782"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9</w:t>
      </w:r>
      <w:r w:rsidR="009F28D1"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%</w:t>
      </w:r>
      <w:r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;</w:t>
      </w:r>
      <w:r w:rsidR="008B7A38"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8B7A38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з </w:t>
      </w:r>
      <w:r w:rsidR="005C46AB" w:rsidRPr="00307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</w:t>
      </w:r>
      <w:r w:rsidR="00273152" w:rsidRPr="00307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 недотримання строків виконання робіт з приєднання, які обумовлені договорами; </w:t>
      </w:r>
      <w:r w:rsidR="00307DA6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порушення ОСР строку розробки та надання замовникам договорів про приєднання та технічних умов</w:t>
      </w:r>
      <w:r w:rsidR="00273152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; </w:t>
      </w:r>
      <w:r w:rsidR="00307DA6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обґрунтованості</w:t>
      </w:r>
      <w:r w:rsidR="00273152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вимог технічних умов, які не задовольняють замовника; відмови оператора системи розподілу (ОСР) в прийнятті заяви про приєднання до системи розподілу.</w:t>
      </w:r>
    </w:p>
    <w:p w:rsidR="00E729A2" w:rsidRPr="00307DA6" w:rsidRDefault="00E729A2" w:rsidP="005F62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вирішено на користь суб’єктів господарювання</w:t>
      </w:r>
      <w:r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EB706B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ПрАТ «</w:t>
      </w:r>
      <w:proofErr w:type="spellStart"/>
      <w:r w:rsidR="00EB706B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Закарпаттяобленерго</w:t>
      </w:r>
      <w:proofErr w:type="spellEnd"/>
      <w:r w:rsidR="00EB706B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ПАТ «</w:t>
      </w:r>
      <w:proofErr w:type="spellStart"/>
      <w:r w:rsidR="00EB706B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Запоріжжяобленерго</w:t>
      </w:r>
      <w:proofErr w:type="spellEnd"/>
      <w:r w:rsidR="00EB706B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ПрАТ «ДТЕК Київські </w:t>
      </w:r>
      <w:r w:rsidR="00E22A7F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регіональні </w:t>
      </w:r>
      <w:r w:rsidR="00EB706B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електромережі», </w:t>
      </w:r>
      <w:r w:rsidR="00E22A7F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</w:t>
      </w:r>
      <w:r w:rsidR="00EB706B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</w:t>
      </w:r>
      <w:proofErr w:type="spellStart"/>
      <w:r w:rsidR="00E22A7F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Львів</w:t>
      </w:r>
      <w:r w:rsidR="00EB706B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обленерго</w:t>
      </w:r>
      <w:proofErr w:type="spellEnd"/>
      <w:r w:rsidR="00EB706B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</w:t>
      </w:r>
      <w:r w:rsidR="00E22A7F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</w:t>
      </w:r>
      <w:r w:rsidR="00E22A7F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АТ «Хмельницькобленерго»</w:t>
      </w:r>
      <w:r w:rsidR="00273152"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– </w:t>
      </w:r>
      <w:r w:rsidR="003C1782"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6</w:t>
      </w:r>
      <w:r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9F28D1"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звернен</w:t>
      </w:r>
      <w:r w:rsidR="00EB706B"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ь</w:t>
      </w:r>
      <w:r w:rsidR="009F28D1"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або </w:t>
      </w:r>
      <w:r w:rsidR="00434131"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5</w:t>
      </w:r>
      <w:r w:rsidR="009F28D1" w:rsidRPr="00307D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%</w:t>
      </w:r>
      <w:r w:rsidRPr="00307DA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:rsidR="00E729A2" w:rsidRPr="003C1782" w:rsidRDefault="00434131" w:rsidP="005F62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3C178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надано роз’яснення – </w:t>
      </w:r>
      <w:r w:rsidR="003C1782" w:rsidRPr="003C178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77</w:t>
      </w:r>
      <w:r w:rsidR="00E729A2" w:rsidRPr="003C178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Pr="003C178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звернень </w:t>
      </w:r>
      <w:r w:rsidR="00607928" w:rsidRPr="003C178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або 6</w:t>
      </w:r>
      <w:r w:rsidR="003C1782" w:rsidRPr="003C178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6</w:t>
      </w:r>
      <w:r w:rsidR="009F28D1" w:rsidRPr="003C178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%</w:t>
      </w:r>
      <w:r w:rsidR="00607928" w:rsidRPr="003C178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.</w:t>
      </w:r>
    </w:p>
    <w:p w:rsidR="00607928" w:rsidRDefault="00607928" w:rsidP="0060792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607928" w:rsidRDefault="00607928" w:rsidP="006079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Відповідно до постанови Кабінету Міністрів України від 23 жовтня 2019 р. № 932, за результатом розгляду </w:t>
      </w:r>
      <w:r w:rsidR="00253E52" w:rsidRPr="00253E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4</w:t>
      </w:r>
      <w:r w:rsidR="00A0106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-х</w:t>
      </w:r>
      <w:bookmarkStart w:id="0" w:name="_GoBack"/>
      <w:bookmarkEnd w:id="0"/>
      <w:r w:rsidRP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надіслано листи до НКРЕКП.</w:t>
      </w:r>
    </w:p>
    <w:p w:rsidR="00CE0B59" w:rsidRDefault="00CE0B59">
      <w:pPr>
        <w:rPr>
          <w:rFonts w:ascii="Times New Roman" w:hAnsi="Times New Roman" w:cs="Times New Roman"/>
          <w:sz w:val="28"/>
          <w:szCs w:val="28"/>
        </w:rPr>
      </w:pPr>
    </w:p>
    <w:p w:rsidR="00DD49E5" w:rsidRDefault="00DD49E5" w:rsidP="00DD49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Директор Департаменту </w:t>
      </w:r>
    </w:p>
    <w:p w:rsidR="00DD49E5" w:rsidRDefault="00DD49E5" w:rsidP="00DD49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державного нагляду</w:t>
      </w:r>
    </w:p>
    <w:p w:rsidR="00E9525B" w:rsidRDefault="00DD49E5" w:rsidP="00DD49E5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галузі електроенергетики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Володимир КЛЮВАК</w:t>
      </w:r>
    </w:p>
    <w:p w:rsidR="00DD49E5" w:rsidRDefault="00DD49E5" w:rsidP="00DD49E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D49E5" w:rsidRDefault="00DD49E5" w:rsidP="00DD49E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D49E5" w:rsidRDefault="00DD49E5" w:rsidP="00DD49E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D49E5" w:rsidRDefault="00DD49E5" w:rsidP="00DD49E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D49E5" w:rsidRDefault="00DD49E5" w:rsidP="00DD49E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D49E5" w:rsidRPr="00DD49E5" w:rsidRDefault="00DD49E5" w:rsidP="00DD49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49E5">
        <w:rPr>
          <w:rFonts w:ascii="Times New Roman" w:hAnsi="Times New Roman"/>
          <w:bCs/>
          <w:sz w:val="20"/>
          <w:szCs w:val="20"/>
        </w:rPr>
        <w:t>Олег Отачук 204 78 60</w:t>
      </w:r>
    </w:p>
    <w:sectPr w:rsidR="00DD49E5" w:rsidRPr="00DD49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91"/>
    <w:multiLevelType w:val="multilevel"/>
    <w:tmpl w:val="C036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D2BFF"/>
    <w:multiLevelType w:val="multilevel"/>
    <w:tmpl w:val="3D5AFB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23FE3"/>
    <w:multiLevelType w:val="hybridMultilevel"/>
    <w:tmpl w:val="ACC6AA40"/>
    <w:lvl w:ilvl="0" w:tplc="F0B62A1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A2"/>
    <w:rsid w:val="00000D3A"/>
    <w:rsid w:val="000C200D"/>
    <w:rsid w:val="00183EDE"/>
    <w:rsid w:val="001E0C55"/>
    <w:rsid w:val="00206CD8"/>
    <w:rsid w:val="00253E52"/>
    <w:rsid w:val="00262A09"/>
    <w:rsid w:val="00273152"/>
    <w:rsid w:val="00307DA6"/>
    <w:rsid w:val="003C1782"/>
    <w:rsid w:val="003E3C2C"/>
    <w:rsid w:val="004178B8"/>
    <w:rsid w:val="00434131"/>
    <w:rsid w:val="005154B0"/>
    <w:rsid w:val="005C46AB"/>
    <w:rsid w:val="005F6202"/>
    <w:rsid w:val="00607928"/>
    <w:rsid w:val="00623A5F"/>
    <w:rsid w:val="00642601"/>
    <w:rsid w:val="00675727"/>
    <w:rsid w:val="006A2D67"/>
    <w:rsid w:val="006D0A3C"/>
    <w:rsid w:val="00754A57"/>
    <w:rsid w:val="007D1802"/>
    <w:rsid w:val="008552AE"/>
    <w:rsid w:val="008B7A38"/>
    <w:rsid w:val="008C5A7B"/>
    <w:rsid w:val="009551BC"/>
    <w:rsid w:val="00967035"/>
    <w:rsid w:val="009D4AAC"/>
    <w:rsid w:val="009F28D1"/>
    <w:rsid w:val="00A0106C"/>
    <w:rsid w:val="00A31067"/>
    <w:rsid w:val="00B24A58"/>
    <w:rsid w:val="00B746BD"/>
    <w:rsid w:val="00B83797"/>
    <w:rsid w:val="00BA6298"/>
    <w:rsid w:val="00C45B34"/>
    <w:rsid w:val="00C50BEB"/>
    <w:rsid w:val="00CD66E4"/>
    <w:rsid w:val="00CE0B59"/>
    <w:rsid w:val="00D832E7"/>
    <w:rsid w:val="00DD49E5"/>
    <w:rsid w:val="00DD6493"/>
    <w:rsid w:val="00E228A7"/>
    <w:rsid w:val="00E22A7F"/>
    <w:rsid w:val="00E729A2"/>
    <w:rsid w:val="00E9525B"/>
    <w:rsid w:val="00EB706B"/>
    <w:rsid w:val="00ED463C"/>
    <w:rsid w:val="00F5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E6B7"/>
  <w15:chartTrackingRefBased/>
  <w15:docId w15:val="{9DE4926D-02AC-49AA-97A0-C81B6134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E7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7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29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5B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5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Отачук Олег Валентинович</dc:creator>
  <cp:keywords/>
  <dc:description/>
  <cp:lastModifiedBy>Отачук Олег Валентинович</cp:lastModifiedBy>
  <cp:revision>35</cp:revision>
  <cp:lastPrinted>2021-07-15T11:06:00Z</cp:lastPrinted>
  <dcterms:created xsi:type="dcterms:W3CDTF">2021-01-22T09:33:00Z</dcterms:created>
  <dcterms:modified xsi:type="dcterms:W3CDTF">2021-07-16T06:56:00Z</dcterms:modified>
</cp:coreProperties>
</file>