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4B" w:rsidRPr="00E7344B" w:rsidRDefault="00E7344B" w:rsidP="00E7344B">
      <w:pPr>
        <w:spacing w:after="0" w:line="240" w:lineRule="auto"/>
        <w:ind w:firstLine="2268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bookmarkStart w:id="0" w:name="_GoBack"/>
      <w:bookmarkEnd w:id="0"/>
      <w:r w:rsidRPr="00E7344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en-US"/>
        </w:rPr>
        <w:t> </w:t>
      </w:r>
      <w:r w:rsidRPr="00E7344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ru-RU"/>
        </w:rPr>
        <w:t xml:space="preserve">                        </w:t>
      </w:r>
      <w:r w:rsidRPr="00E7344B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ЗАТВЕРДЖЕНО</w:t>
      </w:r>
    </w:p>
    <w:p w:rsidR="00E7344B" w:rsidRPr="00E7344B" w:rsidRDefault="00E7344B" w:rsidP="00E7344B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E7344B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постановою Кабінету Міністрів України</w:t>
      </w:r>
    </w:p>
    <w:p w:rsidR="00E7344B" w:rsidRPr="00E7344B" w:rsidRDefault="00E7344B" w:rsidP="00E7344B">
      <w:pPr>
        <w:spacing w:after="0" w:line="240" w:lineRule="auto"/>
        <w:ind w:firstLine="1560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E7344B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                                          від                         202</w:t>
      </w:r>
      <w:r w:rsidR="00C87FE1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5</w:t>
      </w:r>
      <w:r w:rsidRPr="00E7344B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 xml:space="preserve"> р. №</w:t>
      </w:r>
    </w:p>
    <w:p w:rsidR="00E7344B" w:rsidRPr="00E7344B" w:rsidRDefault="00E7344B" w:rsidP="00E7344B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E7344B" w:rsidRPr="00E7344B" w:rsidRDefault="00E7344B" w:rsidP="00E7344B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E7344B" w:rsidRPr="00E7344B" w:rsidRDefault="005528CD" w:rsidP="00E734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  <w:t>К</w:t>
      </w:r>
      <w:r w:rsidR="0061508B"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  <w:t>РИТЕРІЇ</w:t>
      </w:r>
      <w:r w:rsidR="00E7344B" w:rsidRPr="00E7344B"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  <w:t xml:space="preserve">, </w:t>
      </w:r>
      <w:r w:rsidR="00E7344B" w:rsidRPr="00E7344B"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  <w:br/>
        <w:t>за якими оцінюється ступінь ризику від провадження господарської діяльності</w:t>
      </w:r>
      <w:r w:rsidR="00E734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"/>
        </w:rPr>
        <w:t xml:space="preserve"> у сфері теплопостачання</w:t>
      </w:r>
      <w:r w:rsidR="00E7344B" w:rsidRPr="00E7344B"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  <w:t xml:space="preserve"> та визначається періодичність проведення планових заходів державного нагляду (контролю) Державною інспекцією енергетичного нагляду</w:t>
      </w:r>
    </w:p>
    <w:p w:rsidR="00E7344B" w:rsidRPr="00E7344B" w:rsidRDefault="00E7344B" w:rsidP="00E734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</w:pPr>
    </w:p>
    <w:p w:rsidR="00E7344B" w:rsidRPr="00E7344B" w:rsidRDefault="00E7344B" w:rsidP="00E734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" w:eastAsia="uk"/>
        </w:rPr>
      </w:pPr>
    </w:p>
    <w:p w:rsidR="00E7344B" w:rsidRPr="00D8149D" w:rsidRDefault="00E7344B" w:rsidP="00E7344B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</w:pPr>
      <w:bookmarkStart w:id="1" w:name="n10"/>
      <w:bookmarkEnd w:id="1"/>
      <w:r w:rsidRPr="005D7A1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1. </w:t>
      </w:r>
      <w:r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До критеріїв, за якими оцінюється ступінь ризику від провадження господарської діяльності </w:t>
      </w:r>
      <w:r w:rsidR="00125B06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у сфері </w:t>
      </w:r>
      <w:r w:rsidR="005E47FC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теплопостачання</w:t>
      </w:r>
      <w:r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та визначається періодичність проведення планових заходів державного нагляду (контролю)</w:t>
      </w:r>
      <w:r w:rsidR="005D7A1D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="00506F87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Держенергонаглядом</w:t>
      </w:r>
      <w:r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, належать:</w:t>
      </w:r>
      <w:r w:rsidR="005D7A1D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</w:p>
    <w:p w:rsidR="0023009F" w:rsidRPr="00D8149D" w:rsidRDefault="0023009F" w:rsidP="0023009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49D">
        <w:rPr>
          <w:rFonts w:ascii="Times New Roman" w:hAnsi="Times New Roman"/>
          <w:sz w:val="28"/>
          <w:szCs w:val="28"/>
        </w:rPr>
        <w:t>вид господарської діяльності у сфері теплопостачання;</w:t>
      </w:r>
    </w:p>
    <w:p w:rsidR="0023009F" w:rsidRPr="00D8149D" w:rsidRDefault="0023009F" w:rsidP="0023009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49D">
        <w:rPr>
          <w:rFonts w:ascii="Times New Roman" w:hAnsi="Times New Roman"/>
          <w:sz w:val="28"/>
          <w:szCs w:val="28"/>
        </w:rPr>
        <w:t xml:space="preserve">види порушень вимог законодавства у сфері теплопостачання і законодавства про державний нагляд (контроль) у сфері господарської діяльності, виявлених протягом останніх </w:t>
      </w:r>
      <w:r w:rsidR="00D35B4E" w:rsidRPr="00D8149D">
        <w:rPr>
          <w:rFonts w:ascii="Times New Roman" w:hAnsi="Times New Roman"/>
          <w:sz w:val="28"/>
          <w:szCs w:val="28"/>
        </w:rPr>
        <w:t>п’яти</w:t>
      </w:r>
      <w:r w:rsidRPr="00D8149D">
        <w:rPr>
          <w:rFonts w:ascii="Times New Roman" w:hAnsi="Times New Roman"/>
          <w:sz w:val="28"/>
          <w:szCs w:val="28"/>
        </w:rPr>
        <w:t xml:space="preserve"> років, що передують плановому періоду;</w:t>
      </w:r>
    </w:p>
    <w:p w:rsidR="0023009F" w:rsidRPr="00D8149D" w:rsidRDefault="00D8149D" w:rsidP="0023009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49D">
        <w:rPr>
          <w:rFonts w:ascii="Times New Roman" w:hAnsi="Times New Roman"/>
          <w:sz w:val="28"/>
          <w:szCs w:val="28"/>
        </w:rPr>
        <w:t xml:space="preserve">наявність технологічних порушень </w:t>
      </w:r>
      <w:r w:rsidRPr="00D8149D">
        <w:rPr>
          <w:rFonts w:ascii="Times New Roman" w:hAnsi="Times New Roman"/>
          <w:sz w:val="28"/>
          <w:szCs w:val="28"/>
          <w:lang w:val="uk"/>
        </w:rPr>
        <w:t>(</w:t>
      </w:r>
      <w:r w:rsidRPr="00D8149D">
        <w:rPr>
          <w:rFonts w:ascii="Times New Roman" w:hAnsi="Times New Roman"/>
          <w:sz w:val="28"/>
          <w:szCs w:val="28"/>
        </w:rPr>
        <w:t>аварій та відмов</w:t>
      </w:r>
      <w:r w:rsidRPr="00D8149D">
        <w:rPr>
          <w:rFonts w:ascii="Times New Roman" w:hAnsi="Times New Roman"/>
          <w:sz w:val="28"/>
          <w:szCs w:val="28"/>
          <w:lang w:val="uk"/>
        </w:rPr>
        <w:t>) у роботі теплових, тепловикористальних установок та мереж</w:t>
      </w:r>
      <w:r w:rsidRPr="00D8149D">
        <w:rPr>
          <w:rFonts w:ascii="Times New Roman" w:hAnsi="Times New Roman"/>
          <w:sz w:val="28"/>
          <w:szCs w:val="28"/>
        </w:rPr>
        <w:t xml:space="preserve"> протягом останніх п’яти років, що передують плановому періоду</w:t>
      </w:r>
      <w:r w:rsidR="0023009F" w:rsidRPr="00D8149D">
        <w:rPr>
          <w:rFonts w:ascii="Times New Roman" w:hAnsi="Times New Roman"/>
          <w:sz w:val="28"/>
          <w:szCs w:val="28"/>
        </w:rPr>
        <w:t>;</w:t>
      </w:r>
    </w:p>
    <w:p w:rsidR="0023009F" w:rsidRPr="00D8149D" w:rsidRDefault="0023009F" w:rsidP="0023009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49D">
        <w:rPr>
          <w:rFonts w:ascii="Times New Roman" w:hAnsi="Times New Roman"/>
          <w:sz w:val="28"/>
          <w:szCs w:val="28"/>
        </w:rPr>
        <w:t xml:space="preserve">кількість позапланових заходів державного нагляду (контролю), проведених щодо </w:t>
      </w:r>
      <w:r w:rsidR="00027857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суб’єкта </w:t>
      </w:r>
      <w:r w:rsidR="00E87A0F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господарювання</w:t>
      </w:r>
      <w:r w:rsidR="009025C2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, за результатами яких встановлені порушення</w:t>
      </w:r>
      <w:r w:rsidR="00027857" w:rsidRPr="00D8149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Pr="00D8149D">
        <w:rPr>
          <w:rFonts w:ascii="Times New Roman" w:hAnsi="Times New Roman"/>
          <w:sz w:val="28"/>
          <w:szCs w:val="28"/>
        </w:rPr>
        <w:t>протягом останніх двох років, що передують плановому періоду, з підстав, передбачених абзацами третім, п’ятим, сьомим</w:t>
      </w:r>
      <w:r w:rsidR="00D7061F" w:rsidRPr="00D8149D">
        <w:rPr>
          <w:rFonts w:ascii="Times New Roman" w:hAnsi="Times New Roman"/>
          <w:sz w:val="28"/>
          <w:szCs w:val="28"/>
        </w:rPr>
        <w:t xml:space="preserve"> – </w:t>
      </w:r>
      <w:r w:rsidRPr="00D8149D">
        <w:rPr>
          <w:rFonts w:ascii="Times New Roman" w:hAnsi="Times New Roman"/>
          <w:sz w:val="28"/>
          <w:szCs w:val="28"/>
        </w:rPr>
        <w:t>дев’ятим частини першої статті 6 Закону України «Про основні засади державного нагляду (контролю) у сфері господарської діяльності».</w:t>
      </w:r>
    </w:p>
    <w:p w:rsidR="00E7344B" w:rsidRPr="00E7344B" w:rsidRDefault="00E7344B" w:rsidP="00E7344B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</w:pPr>
    </w:p>
    <w:p w:rsidR="00E7344B" w:rsidRPr="00E7344B" w:rsidRDefault="00E7344B" w:rsidP="00E7344B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"/>
        </w:rPr>
      </w:pP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2. Ризики настання негативних наслідків від провадження господарської діяльності </w:t>
      </w:r>
      <w:r w:rsidR="00125B06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у сфері теплопостачання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визначено</w:t>
      </w:r>
      <w:bookmarkStart w:id="2" w:name="n22"/>
      <w:bookmarkEnd w:id="2"/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 xml:space="preserve">у додатку </w:t>
      </w:r>
      <w:r w:rsidR="00FF4CD6">
        <w:rPr>
          <w:rFonts w:ascii="Times New Roman" w:eastAsia="Times New Roman" w:hAnsi="Times New Roman"/>
          <w:kern w:val="0"/>
          <w:sz w:val="28"/>
          <w:szCs w:val="28"/>
          <w:lang w:eastAsia="uk"/>
        </w:rPr>
        <w:t>1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>.</w:t>
      </w:r>
    </w:p>
    <w:p w:rsidR="00E7344B" w:rsidRPr="00E7344B" w:rsidRDefault="00E7344B" w:rsidP="00E7344B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"/>
        </w:rPr>
      </w:pPr>
    </w:p>
    <w:p w:rsidR="00E7344B" w:rsidRPr="00E7344B" w:rsidRDefault="00E7344B" w:rsidP="00E7344B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"/>
        </w:rPr>
      </w:pP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3. </w:t>
      </w:r>
      <w:r w:rsidR="00122257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Вичерпний п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ерелік критеріїв, за якими оцінюється ступінь ризику від провадження господарської діяльності, їх показники</w:t>
      </w:r>
      <w:r w:rsidR="00253EF2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та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кількість балів за кожним показником, шкала балів та періодичн</w:t>
      </w:r>
      <w:r w:rsidR="00A83E88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і</w:t>
      </w:r>
      <w:r w:rsidR="0004131D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ст</w:t>
      </w:r>
      <w:r w:rsidR="00A83E88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ь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проведення планових заходів державного нагляду (контролю) </w:t>
      </w:r>
      <w:r w:rsidR="0023009F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у сфері теплопостачання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визначено</w:t>
      </w:r>
      <w:bookmarkStart w:id="3" w:name="n25"/>
      <w:bookmarkEnd w:id="3"/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 xml:space="preserve">у </w:t>
      </w:r>
      <w:r w:rsidR="00D7061F"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>додатку</w:t>
      </w:r>
      <w:r w:rsidR="00D7061F">
        <w:rPr>
          <w:rFonts w:ascii="Times New Roman" w:eastAsia="Times New Roman" w:hAnsi="Times New Roman"/>
          <w:kern w:val="0"/>
          <w:sz w:val="28"/>
          <w:szCs w:val="28"/>
          <w:lang w:eastAsia="uk"/>
        </w:rPr>
        <w:t> </w:t>
      </w:r>
      <w:r w:rsidR="00FF4CD6">
        <w:rPr>
          <w:rFonts w:ascii="Times New Roman" w:eastAsia="Times New Roman" w:hAnsi="Times New Roman"/>
          <w:kern w:val="0"/>
          <w:sz w:val="28"/>
          <w:szCs w:val="28"/>
          <w:lang w:eastAsia="uk"/>
        </w:rPr>
        <w:t>2</w:t>
      </w:r>
      <w:r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>.</w:t>
      </w:r>
    </w:p>
    <w:p w:rsidR="00D7061F" w:rsidRPr="00E7344B" w:rsidRDefault="00D7061F" w:rsidP="00E7344B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"/>
        </w:rPr>
      </w:pPr>
    </w:p>
    <w:p w:rsidR="00B66C25" w:rsidRDefault="009025C2" w:rsidP="00B66C25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lastRenderedPageBreak/>
        <w:t>4</w:t>
      </w:r>
      <w:r w:rsidR="00E7344B"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. 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У разі коли за результатами планових та позапланових заходів державного нагляду (контролю) протягом останніх шести років для </w:t>
      </w:r>
      <w:r w:rsidR="0002785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суб’єктів </w:t>
      </w:r>
      <w:r w:rsidR="003F231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господарювання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, які віднесені до середнього ступеня ризику, та протягом останніх десяти років для суб’єктів </w:t>
      </w:r>
      <w:r w:rsidR="003F231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господарювання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, які віднесені до незначного ступеня ризику, у суб’єкта </w:t>
      </w:r>
      <w:r w:rsidR="003F231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господарювання</w:t>
      </w:r>
      <w:r w:rsidR="0002785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не виявлено суттєвих порушень вимог законодавства </w:t>
      </w:r>
      <w:r w:rsidR="00FF4CD6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у сфері теплопостачання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eastAsia="uk"/>
        </w:rPr>
        <w:t>,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наступний плановий захід </w:t>
      </w:r>
      <w:r w:rsidR="00506F87" w:rsidRPr="002A19A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державного нагляду (контролю)</w:t>
      </w:r>
      <w:r w:rsidR="00506F87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щодо такого </w:t>
      </w:r>
      <w:r w:rsidR="0002785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суб’єкта </w:t>
      </w:r>
      <w:r w:rsidR="003F231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господарювання</w:t>
      </w:r>
      <w:r w:rsidR="00027857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проводиться не раніше ніж через період часу, встановлений для відповідного ступеня ризику, збільшений в 1,5 рази. </w:t>
      </w:r>
      <w:r w:rsidR="00E7344B" w:rsidRPr="00F97CB0">
        <w:rPr>
          <w:rFonts w:ascii="Times New Roman" w:eastAsia="Times New Roman" w:hAnsi="Times New Roman"/>
          <w:kern w:val="0"/>
          <w:sz w:val="28"/>
          <w:szCs w:val="28"/>
          <w:lang w:eastAsia="uk"/>
        </w:rPr>
        <w:t>Це положення не застосовується до</w:t>
      </w:r>
      <w:r w:rsidR="00E7344B"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 xml:space="preserve"> </w:t>
      </w:r>
      <w:r w:rsidR="00027857"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суб’єкт</w:t>
      </w:r>
      <w:r w:rsidR="00027857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ів</w:t>
      </w:r>
      <w:r w:rsidR="00027857"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 xml:space="preserve"> </w:t>
      </w:r>
      <w:r w:rsidR="003F2317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господарювання</w:t>
      </w:r>
      <w:r w:rsidR="00B66C25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,</w:t>
      </w:r>
      <w:r w:rsidR="00E7344B" w:rsidRPr="00E7344B">
        <w:rPr>
          <w:rFonts w:ascii="Times New Roman" w:eastAsia="Times New Roman" w:hAnsi="Times New Roman"/>
          <w:kern w:val="0"/>
          <w:sz w:val="28"/>
          <w:szCs w:val="28"/>
          <w:lang w:eastAsia="uk"/>
        </w:rPr>
        <w:t xml:space="preserve"> віднесених до високого ступеня ризику.</w:t>
      </w:r>
    </w:p>
    <w:p w:rsidR="00B66C25" w:rsidRDefault="00B66C25" w:rsidP="00B66C25">
      <w:pPr>
        <w:spacing w:after="0" w:line="276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"/>
        </w:rPr>
      </w:pPr>
    </w:p>
    <w:p w:rsidR="001F1AC8" w:rsidRDefault="00E7344B" w:rsidP="00B66C25">
      <w:pPr>
        <w:spacing w:after="0" w:line="276" w:lineRule="auto"/>
        <w:ind w:firstLine="567"/>
        <w:jc w:val="center"/>
      </w:pPr>
      <w:r w:rsidRPr="00E7344B">
        <w:rPr>
          <w:rFonts w:ascii="Times New Roman" w:eastAsia="Times New Roman" w:hAnsi="Times New Roman"/>
          <w:kern w:val="0"/>
          <w:sz w:val="28"/>
          <w:szCs w:val="28"/>
          <w:lang w:val="uk" w:eastAsia="uk"/>
        </w:rPr>
        <w:t>__________________</w:t>
      </w:r>
    </w:p>
    <w:sectPr w:rsidR="001F1AC8" w:rsidSect="00B66C25">
      <w:headerReference w:type="default" r:id="rId6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4F" w:rsidRDefault="00131F4F">
      <w:pPr>
        <w:spacing w:after="0" w:line="240" w:lineRule="auto"/>
      </w:pPr>
      <w:r>
        <w:separator/>
      </w:r>
    </w:p>
  </w:endnote>
  <w:endnote w:type="continuationSeparator" w:id="0">
    <w:p w:rsidR="00131F4F" w:rsidRDefault="0013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4F" w:rsidRDefault="00131F4F">
      <w:pPr>
        <w:spacing w:after="0" w:line="240" w:lineRule="auto"/>
      </w:pPr>
      <w:r>
        <w:separator/>
      </w:r>
    </w:p>
  </w:footnote>
  <w:footnote w:type="continuationSeparator" w:id="0">
    <w:p w:rsidR="00131F4F" w:rsidRDefault="0013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5" w:rsidRPr="00CA103E" w:rsidRDefault="00131F4F">
    <w:pPr>
      <w:pStyle w:val="ae"/>
      <w:jc w:val="center"/>
      <w:rPr>
        <w:rFonts w:ascii="Times New Roman" w:hAnsi="Times New Roman"/>
        <w:sz w:val="28"/>
        <w:szCs w:val="28"/>
      </w:rPr>
    </w:pPr>
    <w:r w:rsidRPr="00CA103E">
      <w:rPr>
        <w:rFonts w:ascii="Times New Roman" w:hAnsi="Times New Roman"/>
        <w:sz w:val="28"/>
        <w:szCs w:val="28"/>
      </w:rPr>
      <w:fldChar w:fldCharType="begin"/>
    </w:r>
    <w:r w:rsidRPr="00CA103E">
      <w:rPr>
        <w:rFonts w:ascii="Times New Roman" w:hAnsi="Times New Roman"/>
        <w:sz w:val="28"/>
        <w:szCs w:val="28"/>
      </w:rPr>
      <w:instrText>PAGE   \* MERGEFORMAT</w:instrText>
    </w:r>
    <w:r w:rsidRPr="00CA103E">
      <w:rPr>
        <w:rFonts w:ascii="Times New Roman" w:hAnsi="Times New Roman"/>
        <w:sz w:val="28"/>
        <w:szCs w:val="28"/>
      </w:rPr>
      <w:fldChar w:fldCharType="separate"/>
    </w:r>
    <w:r w:rsidR="00E26DD0">
      <w:rPr>
        <w:rFonts w:ascii="Times New Roman" w:hAnsi="Times New Roman"/>
        <w:noProof/>
        <w:sz w:val="28"/>
        <w:szCs w:val="28"/>
      </w:rPr>
      <w:t>2</w:t>
    </w:r>
    <w:r w:rsidRPr="00CA103E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4B"/>
    <w:rsid w:val="00027857"/>
    <w:rsid w:val="0004131D"/>
    <w:rsid w:val="000A2357"/>
    <w:rsid w:val="000C5B4A"/>
    <w:rsid w:val="000D5750"/>
    <w:rsid w:val="00105B5B"/>
    <w:rsid w:val="00122257"/>
    <w:rsid w:val="00125B06"/>
    <w:rsid w:val="00131F4F"/>
    <w:rsid w:val="001F1AC8"/>
    <w:rsid w:val="00212B9E"/>
    <w:rsid w:val="0023009F"/>
    <w:rsid w:val="00247B95"/>
    <w:rsid w:val="00253EF2"/>
    <w:rsid w:val="002964D1"/>
    <w:rsid w:val="002A19A0"/>
    <w:rsid w:val="0037475C"/>
    <w:rsid w:val="00374B22"/>
    <w:rsid w:val="0038742B"/>
    <w:rsid w:val="003A6608"/>
    <w:rsid w:val="003B210B"/>
    <w:rsid w:val="003B51E0"/>
    <w:rsid w:val="003E6087"/>
    <w:rsid w:val="003F2317"/>
    <w:rsid w:val="0042313E"/>
    <w:rsid w:val="004C74B1"/>
    <w:rsid w:val="00506F87"/>
    <w:rsid w:val="005528CD"/>
    <w:rsid w:val="00573D54"/>
    <w:rsid w:val="00574260"/>
    <w:rsid w:val="00594F69"/>
    <w:rsid w:val="005D7A1D"/>
    <w:rsid w:val="005E47FC"/>
    <w:rsid w:val="0061508B"/>
    <w:rsid w:val="00655A25"/>
    <w:rsid w:val="00674B2A"/>
    <w:rsid w:val="00691A5D"/>
    <w:rsid w:val="00691EB0"/>
    <w:rsid w:val="007B3293"/>
    <w:rsid w:val="00842A45"/>
    <w:rsid w:val="008469EA"/>
    <w:rsid w:val="008545D3"/>
    <w:rsid w:val="008B6012"/>
    <w:rsid w:val="009025C2"/>
    <w:rsid w:val="00906253"/>
    <w:rsid w:val="00A075FA"/>
    <w:rsid w:val="00A1153A"/>
    <w:rsid w:val="00A83E88"/>
    <w:rsid w:val="00B279F8"/>
    <w:rsid w:val="00B42C3E"/>
    <w:rsid w:val="00B66C25"/>
    <w:rsid w:val="00B70D64"/>
    <w:rsid w:val="00BD527B"/>
    <w:rsid w:val="00BE1623"/>
    <w:rsid w:val="00C0225E"/>
    <w:rsid w:val="00C44F5B"/>
    <w:rsid w:val="00C87FE1"/>
    <w:rsid w:val="00CD079B"/>
    <w:rsid w:val="00CE75C0"/>
    <w:rsid w:val="00D047AC"/>
    <w:rsid w:val="00D0535D"/>
    <w:rsid w:val="00D35B4E"/>
    <w:rsid w:val="00D7061F"/>
    <w:rsid w:val="00D8149D"/>
    <w:rsid w:val="00DB7AE8"/>
    <w:rsid w:val="00DE1F5C"/>
    <w:rsid w:val="00E02BD6"/>
    <w:rsid w:val="00E208AD"/>
    <w:rsid w:val="00E26DD0"/>
    <w:rsid w:val="00E7344B"/>
    <w:rsid w:val="00E87A0F"/>
    <w:rsid w:val="00EB4286"/>
    <w:rsid w:val="00EC1400"/>
    <w:rsid w:val="00F14887"/>
    <w:rsid w:val="00F97CB0"/>
    <w:rsid w:val="00FE7D07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D59C7-5C3D-4D00-8F07-19C17649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7344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4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4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44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44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44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44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44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44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Шрифт абзацу за замовчув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344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7344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7344B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7344B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E7344B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E7344B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7344B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7344B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7344B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7344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E7344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44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E7344B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44B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E7344B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E7344B"/>
    <w:pPr>
      <w:ind w:left="720"/>
      <w:contextualSpacing/>
    </w:pPr>
  </w:style>
  <w:style w:type="character" w:styleId="aa">
    <w:name w:val="Intense Emphasis"/>
    <w:uiPriority w:val="21"/>
    <w:qFormat/>
    <w:rsid w:val="00E7344B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E7344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link w:val="ab"/>
    <w:uiPriority w:val="30"/>
    <w:rsid w:val="00E7344B"/>
    <w:rPr>
      <w:i/>
      <w:iCs/>
      <w:color w:val="0F4761"/>
    </w:rPr>
  </w:style>
  <w:style w:type="character" w:styleId="ad">
    <w:name w:val="Intense Reference"/>
    <w:uiPriority w:val="32"/>
    <w:qFormat/>
    <w:rsid w:val="00E7344B"/>
    <w:rPr>
      <w:b/>
      <w:bCs/>
      <w:smallCaps/>
      <w:color w:val="0F4761"/>
      <w:spacing w:val="5"/>
    </w:rPr>
  </w:style>
  <w:style w:type="paragraph" w:styleId="ae">
    <w:name w:val="header"/>
    <w:basedOn w:val="a"/>
    <w:link w:val="af"/>
    <w:uiPriority w:val="99"/>
    <w:unhideWhenUsed/>
    <w:rsid w:val="00E7344B"/>
    <w:pPr>
      <w:tabs>
        <w:tab w:val="center" w:pos="4819"/>
        <w:tab w:val="right" w:pos="9639"/>
      </w:tabs>
    </w:pPr>
    <w:rPr>
      <w:rFonts w:ascii="Calibri" w:eastAsia="Calibri" w:hAnsi="Calibri"/>
    </w:rPr>
  </w:style>
  <w:style w:type="character" w:customStyle="1" w:styleId="af">
    <w:name w:val="Верхній колонтитул Знак"/>
    <w:link w:val="ae"/>
    <w:uiPriority w:val="99"/>
    <w:rsid w:val="00E7344B"/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4C74B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paragraph" w:styleId="af0">
    <w:name w:val="Normal (Web)"/>
    <w:basedOn w:val="a"/>
    <w:uiPriority w:val="99"/>
    <w:semiHidden/>
    <w:unhideWhenUsed/>
    <w:rsid w:val="0023009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paragraph" w:styleId="af1">
    <w:name w:val="No Spacing"/>
    <w:uiPriority w:val="1"/>
    <w:qFormat/>
    <w:rsid w:val="0023009F"/>
    <w:rPr>
      <w:kern w:val="2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37475C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Трительницька Ольга Олексіївна</dc:creator>
  <cp:keywords/>
  <dc:description/>
  <cp:lastModifiedBy>Корченов Іван Олександрович</cp:lastModifiedBy>
  <cp:revision>2</cp:revision>
  <cp:lastPrinted>2025-01-14T09:00:00Z</cp:lastPrinted>
  <dcterms:created xsi:type="dcterms:W3CDTF">2025-11-10T13:23:00Z</dcterms:created>
  <dcterms:modified xsi:type="dcterms:W3CDTF">2025-11-10T13:23:00Z</dcterms:modified>
</cp:coreProperties>
</file>