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</w:tblGrid>
      <w:tr w:rsidR="008C3E61" w:rsidRPr="003213C2" w:rsidTr="003213C2">
        <w:trPr>
          <w:jc w:val="right"/>
        </w:trPr>
        <w:tc>
          <w:tcPr>
            <w:tcW w:w="5000" w:type="pct"/>
            <w:hideMark/>
          </w:tcPr>
          <w:p w:rsidR="00480B38" w:rsidRPr="003213C2" w:rsidRDefault="00480B38" w:rsidP="003213C2">
            <w:pPr>
              <w:spacing w:before="150" w:after="15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3213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Додаток </w:t>
            </w:r>
            <w:r w:rsidR="00B36C10" w:rsidRPr="003213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</w:t>
            </w:r>
            <w:r w:rsidRPr="003213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br/>
              <w:t xml:space="preserve">до </w:t>
            </w:r>
            <w:r w:rsidR="00EE37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К</w:t>
            </w:r>
            <w:r w:rsidRPr="003213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ритеріїв</w:t>
            </w:r>
          </w:p>
        </w:tc>
      </w:tr>
    </w:tbl>
    <w:p w:rsidR="00834356" w:rsidRDefault="00834356" w:rsidP="00B5608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bookmarkStart w:id="1" w:name="n48"/>
      <w:bookmarkEnd w:id="1"/>
    </w:p>
    <w:p w:rsidR="00B56081" w:rsidRPr="00E312C2" w:rsidRDefault="00227762" w:rsidP="00B5608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ВИЧЕРПНИЙ </w:t>
      </w:r>
      <w:r w:rsidR="00E6286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П</w:t>
      </w:r>
      <w:r w:rsidR="00C12E7F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ЕРЕЛІК КРИТЕРІЇВ</w:t>
      </w:r>
      <w:r w:rsidR="00834356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,</w:t>
      </w:r>
    </w:p>
    <w:p w:rsidR="00480B38" w:rsidRDefault="00480B38" w:rsidP="0083435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за якими оцінюється ступінь ризику від провадження господарської діяльності, їх показник</w:t>
      </w:r>
      <w:r w:rsidR="00834356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и та </w:t>
      </w: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кільк</w:t>
      </w:r>
      <w:r w:rsidR="00834356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і</w:t>
      </w:r>
      <w:r w:rsidR="00F40DA9"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ст</w:t>
      </w:r>
      <w:r w:rsidR="00834356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ь</w:t>
      </w: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 балів за</w:t>
      </w:r>
      <w:r w:rsidR="008A74E7"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 </w:t>
      </w: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кожним показником, шкал</w:t>
      </w:r>
      <w:r w:rsidR="002B0C6F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а</w:t>
      </w: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 балів та </w:t>
      </w:r>
      <w:r w:rsidR="00834356"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періодичн</w:t>
      </w:r>
      <w:r w:rsidR="00834356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і</w:t>
      </w:r>
      <w:r w:rsidR="00834356"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ст</w:t>
      </w:r>
      <w:r w:rsidR="00C12E7F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ь</w:t>
      </w:r>
      <w:r w:rsidR="00834356"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 </w:t>
      </w:r>
      <w:r w:rsidRPr="00E312C2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проведення планових заходів державного нагляду (контролю) у сфері теплопостачання</w:t>
      </w:r>
    </w:p>
    <w:p w:rsidR="00985FB8" w:rsidRPr="00E312C2" w:rsidRDefault="00985FB8" w:rsidP="0083435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</w:p>
    <w:p w:rsidR="00B56081" w:rsidRPr="00E312C2" w:rsidRDefault="00B56081" w:rsidP="00B5608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tbl>
      <w:tblPr>
        <w:tblW w:w="4977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0"/>
        <w:gridCol w:w="4311"/>
        <w:gridCol w:w="1672"/>
      </w:tblGrid>
      <w:tr w:rsidR="008C3E61" w:rsidRPr="004E08B2" w:rsidTr="003213C2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F27697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bookmarkStart w:id="2" w:name="n49"/>
            <w:bookmarkEnd w:id="2"/>
            <w:r w:rsidRPr="00F2769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Критерії,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(контролю) Державною інспекцією енергетичного нагляду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Показники критеріїв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Кількість балів*</w:t>
            </w:r>
          </w:p>
        </w:tc>
      </w:tr>
      <w:tr w:rsidR="008C3E61" w:rsidRPr="004E08B2" w:rsidTr="003213C2">
        <w:tc>
          <w:tcPr>
            <w:tcW w:w="3680" w:type="dxa"/>
            <w:vMerge w:val="restart"/>
            <w:tcBorders>
              <w:top w:val="single" w:sz="4" w:space="0" w:color="auto"/>
            </w:tcBorders>
            <w:hideMark/>
          </w:tcPr>
          <w:p w:rsidR="00480B38" w:rsidRPr="00E312C2" w:rsidRDefault="00480B38" w:rsidP="00502927">
            <w:pPr>
              <w:spacing w:before="150" w:after="15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1. Вид господарської діяльності у сфері теплопостачання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:rsidR="00480B38" w:rsidRPr="003C7838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1) суб’єкти</w:t>
            </w:r>
            <w:r w:rsidR="00BF6E92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="00740E5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господарювання</w:t>
            </w:r>
            <w:r w:rsidR="00F2769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,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що </w:t>
            </w:r>
            <w:r w:rsidR="007662E6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здійснюють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діяльність з виробництва</w:t>
            </w:r>
            <w:r w:rsidR="008B0F17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="006873ED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теплової енергії </w:t>
            </w:r>
            <w:r w:rsidR="008B0F17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(</w:t>
            </w:r>
            <w:r w:rsidR="0083435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у</w:t>
            </w:r>
            <w:r w:rsidR="00834356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="008B0F17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тому</w:t>
            </w:r>
            <w:r w:rsidR="00865231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числі</w:t>
            </w:r>
            <w:r w:rsidR="0083435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, </w:t>
            </w:r>
            <w:r w:rsidR="003C7838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що виробляється когенераційними установками</w:t>
            </w:r>
            <w:r w:rsidR="008B0F17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)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та/або транспортування</w:t>
            </w:r>
            <w:r w:rsidR="006873ED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теплової енергії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та/або постачання теплової енергії</w:t>
            </w:r>
            <w:r w:rsidR="008B0F17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із загальним</w:t>
            </w:r>
            <w:r w:rsidR="003C7838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приєднаним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тепловим навантаженням:</w:t>
            </w:r>
            <w:r w:rsidR="003C7838"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3C7838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більш</w:t>
            </w:r>
            <w:r w:rsid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е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10 Гкал/год</w:t>
            </w:r>
            <w:r w:rsidR="00865231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ину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21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3C7838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від 1 до 10 Гкал/год</w:t>
            </w:r>
            <w:r w:rsidR="00865231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ину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включно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16</w:t>
            </w:r>
          </w:p>
        </w:tc>
      </w:tr>
      <w:tr w:rsidR="008C3E61" w:rsidRPr="004E08B2" w:rsidTr="003213C2">
        <w:trPr>
          <w:trHeight w:val="300"/>
        </w:trPr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3C7838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до 1 Гкал/год</w:t>
            </w:r>
            <w:r w:rsidR="00865231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ину</w:t>
            </w:r>
            <w:r w:rsidRPr="003C7838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8C3E61" w:rsidRPr="004E08B2" w:rsidTr="003213C2">
        <w:trPr>
          <w:trHeight w:val="300"/>
        </w:trPr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E312C2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2) </w:t>
            </w:r>
            <w:r w:rsidR="0045715A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суб’єкт</w:t>
            </w:r>
            <w:r w:rsidR="002874DE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45715A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40E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</w:t>
            </w:r>
            <w:r w:rsidR="002646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740E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дарювання</w:t>
            </w:r>
            <w:r w:rsidR="00834356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5715A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споживач</w:t>
            </w:r>
            <w:r w:rsidR="002874DE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 теплової енергії, теплосервісні організації</w:t>
            </w:r>
            <w:r w:rsidR="00834356" w:rsidRPr="004E08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E312C2" w:rsidRDefault="002874DE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highlight w:val="cyan"/>
                <w:lang w:eastAsia="uk-UA"/>
              </w:rPr>
            </w:pPr>
            <w:r w:rsidRP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яким не допускається перерва у подачі теплової енергії та зниження температури повітря в приміщеннях нижче значень, передбачених вимогами </w:t>
            </w:r>
            <w:r w:rsidRPr="004C79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нормативно-правових актів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,</w:t>
            </w:r>
            <w:r w:rsidRP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норм і правил (</w:t>
            </w:r>
            <w:r w:rsidR="0083435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першої</w:t>
            </w:r>
            <w:r w:rsidR="001F177C" w:rsidRP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категорії надійності теплопостачання</w:t>
            </w:r>
            <w:r w:rsidRPr="002874DE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16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1022B6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1022B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у власності або оперативному управлінні яких є </w:t>
            </w:r>
            <w:r w:rsidR="001F177C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>об’єкти соціальної сфери</w:t>
            </w:r>
            <w:r w:rsidR="00CA0F38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 (заклади охорони здоров’я, освіти (</w:t>
            </w:r>
            <w:r w:rsidR="00834356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у </w:t>
            </w:r>
            <w:r w:rsidR="00CA0F38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>тому числі дошкільної),</w:t>
            </w:r>
            <w:r w:rsidR="00E312C2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 </w:t>
            </w:r>
            <w:r w:rsidR="00DF36DC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>заклади соціального захисту населення</w:t>
            </w:r>
            <w:r w:rsidR="00E312C2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, </w:t>
            </w:r>
            <w:r w:rsidR="005313EA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військові шпиталі, </w:t>
            </w:r>
            <w:r w:rsidR="00CA0F38" w:rsidRPr="004E08B2">
              <w:rPr>
                <w:rStyle w:val="spanrvts0"/>
                <w:rFonts w:eastAsia="Aptos"/>
                <w:sz w:val="28"/>
                <w:szCs w:val="28"/>
                <w:lang w:eastAsia="uk"/>
              </w:rPr>
              <w:t xml:space="preserve">інші заклади соціального призначення) 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11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1022B6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1022B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інші споживачі теплової енергії</w:t>
            </w:r>
            <w:r w:rsidR="001F177C" w:rsidRPr="001022B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(громадські, адміністративно-побутові, промислові тощо)</w:t>
            </w:r>
            <w:r w:rsidR="00740E5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, теплосервісні організації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8C3E61" w:rsidRPr="004E08B2" w:rsidTr="003213C2">
        <w:tc>
          <w:tcPr>
            <w:tcW w:w="3680" w:type="dxa"/>
            <w:vMerge w:val="restart"/>
            <w:hideMark/>
          </w:tcPr>
          <w:p w:rsidR="00480B38" w:rsidRPr="00E312C2" w:rsidRDefault="00480B38" w:rsidP="00480B38">
            <w:pPr>
              <w:spacing w:before="150" w:after="15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2. 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п’яти років, що передують плановому періоду</w:t>
            </w:r>
          </w:p>
        </w:tc>
        <w:tc>
          <w:tcPr>
            <w:tcW w:w="4253" w:type="dxa"/>
            <w:hideMark/>
          </w:tcPr>
          <w:p w:rsidR="00480B38" w:rsidRPr="007F3389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1) порушення вимог 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 </w:t>
            </w:r>
            <w:r w:rsidR="008E3173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нормативно-правових актів, норм і правил </w:t>
            </w:r>
            <w:r w:rsidR="0003466E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щодо</w:t>
            </w:r>
            <w:r w:rsidR="008E3173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"/>
              </w:rPr>
              <w:t xml:space="preserve"> організації експлуатації</w:t>
            </w:r>
            <w:r w:rsidR="008E3173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теплових, тепловикористальних установок </w:t>
            </w:r>
            <w:r w:rsidR="00DB0D9B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і</w:t>
            </w:r>
            <w:r w:rsidR="008E3173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мереж 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10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7F3389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2) порушення вимог </w:t>
            </w:r>
            <w:r w:rsidR="008E3173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нормативно-правових актів, норм і правил </w:t>
            </w:r>
            <w:r w:rsidR="007F3389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щодо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підготовки </w:t>
            </w:r>
            <w:r w:rsidRPr="00BB3A35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теплових </w:t>
            </w:r>
            <w:r w:rsidRPr="00BB3A35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lastRenderedPageBreak/>
              <w:t>господарств до опалювального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періоду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lastRenderedPageBreak/>
              <w:t>20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7F3389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3) порушення </w:t>
            </w:r>
            <w:r w:rsidR="00F5478A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вимог 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  </w:t>
            </w:r>
            <w:r w:rsidR="00F5478A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нормативно-правових актів, норм і правил 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щодо розподілу і перетворення теплової енергії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10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7F3389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4) порушення </w:t>
            </w:r>
            <w:r w:rsidR="00F5478A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вимог 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   </w:t>
            </w:r>
            <w:r w:rsidR="00F5478A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нормативно-правових актів, норм і правил 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щодо використання теплової енергії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10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E312C2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5) невиконання (ухилення від виконання) або несвоєчасне виконання рішень чи приписів центрального органу виконавчої влади, що реалізує державну політику у сфері нагляду (контролю) у галузі теплопостачання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10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E312C2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6) 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недопущення суб’єктом </w:t>
            </w:r>
            <w:r w:rsidR="00DC6FB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господарювання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посадової особи </w:t>
            </w:r>
            <w:r w:rsidR="001E1547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центрального органу виконавчої влади, що реалізує державну політику у сфері нагляду (контролю) у галузі теплопостачання</w:t>
            </w:r>
            <w:r w:rsidR="00DB0D9B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,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="001E1547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до </w:t>
            </w:r>
            <w:r w:rsidR="007F3389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теплових, тепловикористальних установок </w:t>
            </w:r>
            <w:r w:rsidR="00DB0D9B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і</w:t>
            </w:r>
            <w:r w:rsidR="007F3389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мереж</w:t>
            </w:r>
            <w:r w:rsidR="001E1547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для здійснення заходу державного </w:t>
            </w:r>
            <w:r w:rsidR="0029383B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нагляду (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контролю</w:t>
            </w:r>
            <w:r w:rsidR="0029383B"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)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з підстав, не визначених </w:t>
            </w:r>
            <w:hyperlink r:id="rId6" w:tgtFrame="_blank" w:history="1">
              <w:r w:rsidRPr="007F3389">
                <w:rPr>
                  <w:rFonts w:ascii="Times New Roman" w:eastAsia="Times New Roman" w:hAnsi="Times New Roman"/>
                  <w:kern w:val="0"/>
                  <w:sz w:val="28"/>
                  <w:szCs w:val="28"/>
                  <w:lang w:eastAsia="uk-UA"/>
                </w:rPr>
                <w:t>Законом України</w:t>
              </w:r>
            </w:hyperlink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 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«</w:t>
            </w:r>
            <w:r w:rsidRPr="007F33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Про основні засади державного нагляду (контролю) у сфері господарської діяльності</w:t>
            </w:r>
            <w:r w:rsidR="004E08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25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E312C2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E312C2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7) відсутні</w:t>
            </w:r>
            <w:r w:rsidR="00012572"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сть</w:t>
            </w: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порушен</w:t>
            </w:r>
            <w:r w:rsidR="00012572"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ь</w:t>
            </w: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вимог законодавства у сфері </w:t>
            </w: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lastRenderedPageBreak/>
              <w:t>теплопостачання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lastRenderedPageBreak/>
              <w:t>0</w:t>
            </w:r>
          </w:p>
        </w:tc>
      </w:tr>
      <w:tr w:rsidR="008C3E61" w:rsidRPr="004E08B2" w:rsidTr="003213C2">
        <w:tc>
          <w:tcPr>
            <w:tcW w:w="3680" w:type="dxa"/>
            <w:vMerge w:val="restart"/>
            <w:hideMark/>
          </w:tcPr>
          <w:p w:rsidR="00480B38" w:rsidRPr="002B0C6F" w:rsidRDefault="00480B38" w:rsidP="00480B38">
            <w:pPr>
              <w:spacing w:before="150" w:after="15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3. </w:t>
            </w:r>
            <w:r w:rsidR="008026C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аявність технологічних порушень 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val="uk" w:eastAsia="uk-UA"/>
              </w:rPr>
              <w:t>(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аварій та відмов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val="uk" w:eastAsia="uk-UA"/>
              </w:rPr>
              <w:t>) у роботі теплових, тепловикористальних установок та мереж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 протягом останніх п’яти років, що передують плановому періоду</w:t>
            </w:r>
          </w:p>
        </w:tc>
        <w:tc>
          <w:tcPr>
            <w:tcW w:w="4253" w:type="dxa"/>
            <w:hideMark/>
          </w:tcPr>
          <w:p w:rsidR="00480B38" w:rsidRPr="00FA71CC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FA71C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1) наявність аварій на об’єктах у сфері теплопостачання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2B0C6F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FA71CC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FA71C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2) </w:t>
            </w:r>
            <w:r w:rsidR="00FA71CC" w:rsidRPr="00FA71C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наявність відмов у роботі теплових, тепловикористальних установок і мереж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23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2B0C6F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FA71CC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FA71C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3) відсутність технологічних порушень </w:t>
            </w:r>
            <w:r w:rsidR="00065FF8" w:rsidRPr="00FA71CC">
              <w:rPr>
                <w:rFonts w:ascii="Times New Roman" w:eastAsia="Calibri" w:hAnsi="Times New Roman"/>
                <w:sz w:val="28"/>
                <w:szCs w:val="28"/>
              </w:rPr>
              <w:t xml:space="preserve">(аварій та відмов) у роботі </w:t>
            </w:r>
            <w:r w:rsidR="00FA71CC" w:rsidRPr="00FA71CC">
              <w:rPr>
                <w:rFonts w:ascii="Times New Roman" w:eastAsia="Calibri" w:hAnsi="Times New Roman"/>
                <w:sz w:val="28"/>
                <w:szCs w:val="28"/>
              </w:rPr>
              <w:t>теплових, тепловикористальних установок і мереж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0</w:t>
            </w:r>
          </w:p>
        </w:tc>
      </w:tr>
      <w:tr w:rsidR="008C3E61" w:rsidRPr="004E08B2" w:rsidTr="003213C2">
        <w:tc>
          <w:tcPr>
            <w:tcW w:w="3680" w:type="dxa"/>
            <w:vMerge w:val="restart"/>
            <w:hideMark/>
          </w:tcPr>
          <w:p w:rsidR="00480B38" w:rsidRPr="002B0C6F" w:rsidRDefault="00480B38" w:rsidP="00E60E7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4. Кількість 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 xml:space="preserve">позапланових заходів державного нагляду (контролю), проведених щодо 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val="uk" w:eastAsia="uk-UA"/>
              </w:rPr>
              <w:t>суб’єкта господарювання</w:t>
            </w:r>
            <w:r w:rsidR="008E3075">
              <w:rPr>
                <w:rFonts w:ascii="Times New Roman" w:eastAsia="Times New Roman" w:hAnsi="Times New Roman"/>
                <w:kern w:val="0"/>
                <w:sz w:val="28"/>
                <w:szCs w:val="28"/>
                <w:lang w:val="uk" w:eastAsia="uk-UA"/>
              </w:rPr>
              <w:t xml:space="preserve">, </w:t>
            </w:r>
            <w:r w:rsidR="008E3075" w:rsidRPr="008E3075">
              <w:rPr>
                <w:rFonts w:ascii="Times New Roman" w:hAnsi="Times New Roman"/>
                <w:sz w:val="28"/>
                <w:szCs w:val="28"/>
              </w:rPr>
              <w:t>за результатами яких встановлено порушення</w:t>
            </w:r>
            <w:r w:rsidR="002B0C6F" w:rsidRPr="008E3075">
              <w:rPr>
                <w:rFonts w:ascii="Times New Roman" w:eastAsia="Times New Roman" w:hAnsi="Times New Roman"/>
                <w:kern w:val="0"/>
                <w:sz w:val="28"/>
                <w:szCs w:val="28"/>
                <w:lang w:val="uk" w:eastAsia="uk-UA"/>
              </w:rPr>
              <w:t xml:space="preserve"> </w:t>
            </w:r>
            <w:r w:rsidR="002B0C6F" w:rsidRPr="008E3075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протягом останніх двох років, що передують плановому періоду, з підстав, передбачених абзацами третім, п’ятим</w:t>
            </w:r>
            <w:r w:rsidR="008E3075" w:rsidRPr="008E3075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**</w:t>
            </w:r>
            <w:r w:rsidR="002B0C6F" w:rsidRPr="008E3075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, сьомим – дев’ятим частини першої статті 6 Закону України «</w:t>
            </w:r>
            <w:r w:rsidR="002B0C6F"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Про основні засади державного нагляду (контролю) у сфері господарської діяльності»</w:t>
            </w:r>
          </w:p>
        </w:tc>
        <w:tc>
          <w:tcPr>
            <w:tcW w:w="4253" w:type="dxa"/>
            <w:hideMark/>
          </w:tcPr>
          <w:p w:rsidR="00480B38" w:rsidRPr="002B0C6F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1) шість заходів і більше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9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2B0C6F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2B0C6F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2) від одного до п’яти заходів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5</w:t>
            </w:r>
          </w:p>
        </w:tc>
      </w:tr>
      <w:tr w:rsidR="008C3E61" w:rsidRPr="004E08B2" w:rsidTr="003213C2">
        <w:tc>
          <w:tcPr>
            <w:tcW w:w="3680" w:type="dxa"/>
            <w:vMerge/>
            <w:hideMark/>
          </w:tcPr>
          <w:p w:rsidR="00480B38" w:rsidRPr="002B0C6F" w:rsidRDefault="00480B38" w:rsidP="00480B3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4253" w:type="dxa"/>
            <w:hideMark/>
          </w:tcPr>
          <w:p w:rsidR="00480B38" w:rsidRPr="002B0C6F" w:rsidRDefault="00480B38" w:rsidP="00312C07">
            <w:pPr>
              <w:spacing w:before="150" w:after="150" w:line="240" w:lineRule="auto"/>
              <w:ind w:right="1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2B0C6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3) відсутність заходів</w:t>
            </w:r>
          </w:p>
        </w:tc>
        <w:tc>
          <w:tcPr>
            <w:tcW w:w="1650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0</w:t>
            </w:r>
          </w:p>
        </w:tc>
      </w:tr>
    </w:tbl>
    <w:p w:rsidR="00985FB8" w:rsidRDefault="00480B38" w:rsidP="00480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uk-UA"/>
        </w:rPr>
      </w:pPr>
      <w:bookmarkStart w:id="3" w:name="n50"/>
      <w:bookmarkEnd w:id="3"/>
      <w:r w:rsidRPr="00E312C2">
        <w:rPr>
          <w:rFonts w:ascii="Times New Roman" w:eastAsia="Times New Roman" w:hAnsi="Times New Roman"/>
          <w:kern w:val="0"/>
          <w:sz w:val="20"/>
          <w:szCs w:val="20"/>
          <w:lang w:eastAsia="uk-UA"/>
        </w:rPr>
        <w:t>__________</w:t>
      </w:r>
      <w:r w:rsidRPr="00E312C2">
        <w:rPr>
          <w:rFonts w:ascii="Times New Roman" w:eastAsia="Times New Roman" w:hAnsi="Times New Roman"/>
          <w:kern w:val="0"/>
          <w:sz w:val="24"/>
          <w:szCs w:val="24"/>
          <w:lang w:eastAsia="uk-UA"/>
        </w:rPr>
        <w:br/>
      </w:r>
    </w:p>
    <w:p w:rsidR="004E08B2" w:rsidRPr="00090811" w:rsidRDefault="00480B38" w:rsidP="00480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  <w:r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* Якщо суб’єкт </w:t>
      </w:r>
      <w:r w:rsidR="00DC6FBA"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>господарювання</w:t>
      </w:r>
      <w:r w:rsidR="004E08B2"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 </w:t>
      </w:r>
      <w:r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може бути одночасно віднесений до більш </w:t>
      </w:r>
      <w:r w:rsidR="0013305D"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>ніж</w:t>
      </w:r>
      <w:r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 одного показника критерію, застосовується показник з найбільшою кількістю балів.</w:t>
      </w:r>
      <w:r w:rsidR="004E08B2"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 </w:t>
      </w:r>
    </w:p>
    <w:p w:rsidR="00480B38" w:rsidRPr="00090811" w:rsidRDefault="00480B38" w:rsidP="00480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  <w:r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>** Ураховується лише кількість позапланових заходів державного нагляду (контролю), за результатами яких встановлені порушення, що були підставами для звернення фізичної особи (</w:t>
      </w:r>
      <w:r w:rsidR="0013305D"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фізичних </w:t>
      </w:r>
      <w:r w:rsidRPr="00090811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>осіб).</w:t>
      </w:r>
    </w:p>
    <w:p w:rsidR="004C799C" w:rsidRDefault="004C799C" w:rsidP="00480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p w:rsidR="00985FB8" w:rsidRPr="00E312C2" w:rsidRDefault="00985FB8" w:rsidP="00480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tbl>
      <w:tblPr>
        <w:tblW w:w="4929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39"/>
        <w:gridCol w:w="3949"/>
        <w:gridCol w:w="2731"/>
      </w:tblGrid>
      <w:tr w:rsidR="008C3E61" w:rsidRPr="004E08B2" w:rsidTr="004C799C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bookmarkStart w:id="4" w:name="n51"/>
            <w:bookmarkEnd w:id="4"/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Шкала балів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Ступінь ризику від провадження господарської діяльності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Періодичність проведення планових заходів державного нагляду (контролю)</w:t>
            </w:r>
          </w:p>
        </w:tc>
      </w:tr>
      <w:tr w:rsidR="008C3E61" w:rsidRPr="004E08B2" w:rsidTr="004C799C">
        <w:tc>
          <w:tcPr>
            <w:tcW w:w="2901" w:type="dxa"/>
            <w:tcBorders>
              <w:top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Від 41 до 100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високий ризик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не частіше одного разу на два роки</w:t>
            </w:r>
          </w:p>
        </w:tc>
      </w:tr>
      <w:tr w:rsidR="008C3E61" w:rsidRPr="004E08B2" w:rsidTr="004C799C">
        <w:tc>
          <w:tcPr>
            <w:tcW w:w="2901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Від 21 до 40</w:t>
            </w:r>
          </w:p>
        </w:tc>
        <w:tc>
          <w:tcPr>
            <w:tcW w:w="3897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середній ризик</w:t>
            </w:r>
          </w:p>
        </w:tc>
        <w:tc>
          <w:tcPr>
            <w:tcW w:w="2695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не частіше одного разу на три роки</w:t>
            </w:r>
          </w:p>
        </w:tc>
      </w:tr>
      <w:tr w:rsidR="004C799C" w:rsidRPr="004E08B2" w:rsidTr="004C799C">
        <w:tc>
          <w:tcPr>
            <w:tcW w:w="2901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Від 0 до 20</w:t>
            </w:r>
          </w:p>
        </w:tc>
        <w:tc>
          <w:tcPr>
            <w:tcW w:w="3897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незначний ризик</w:t>
            </w:r>
          </w:p>
        </w:tc>
        <w:tc>
          <w:tcPr>
            <w:tcW w:w="2695" w:type="dxa"/>
            <w:hideMark/>
          </w:tcPr>
          <w:p w:rsidR="00480B38" w:rsidRPr="00E312C2" w:rsidRDefault="00480B38" w:rsidP="00480B38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  <w:r w:rsidRPr="00E312C2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  <w:t>не частіше одного разу на п’ять років</w:t>
            </w:r>
          </w:p>
        </w:tc>
      </w:tr>
    </w:tbl>
    <w:p w:rsidR="001F1AC8" w:rsidRPr="008C3E61" w:rsidRDefault="004E08B2" w:rsidP="003213C2">
      <w:pPr>
        <w:jc w:val="center"/>
      </w:pPr>
      <w:r>
        <w:t>_______________________</w:t>
      </w:r>
    </w:p>
    <w:sectPr w:rsidR="001F1AC8" w:rsidRPr="008C3E61" w:rsidSect="003213C2">
      <w:headerReference w:type="default" r:id="rId7"/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FC" w:rsidRPr="00E312C2" w:rsidRDefault="00C67CFC" w:rsidP="00A07B4F">
      <w:pPr>
        <w:spacing w:after="0" w:line="240" w:lineRule="auto"/>
      </w:pPr>
      <w:r w:rsidRPr="00E312C2">
        <w:separator/>
      </w:r>
    </w:p>
  </w:endnote>
  <w:endnote w:type="continuationSeparator" w:id="0">
    <w:p w:rsidR="00C67CFC" w:rsidRPr="00E312C2" w:rsidRDefault="00C67CFC" w:rsidP="00A07B4F">
      <w:pPr>
        <w:spacing w:after="0" w:line="240" w:lineRule="auto"/>
      </w:pPr>
      <w:r w:rsidRPr="00E312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FC" w:rsidRPr="00E312C2" w:rsidRDefault="00C67CFC" w:rsidP="00A07B4F">
      <w:pPr>
        <w:spacing w:after="0" w:line="240" w:lineRule="auto"/>
      </w:pPr>
      <w:r w:rsidRPr="00E312C2">
        <w:separator/>
      </w:r>
    </w:p>
  </w:footnote>
  <w:footnote w:type="continuationSeparator" w:id="0">
    <w:p w:rsidR="00C67CFC" w:rsidRPr="00E312C2" w:rsidRDefault="00C67CFC" w:rsidP="00A07B4F">
      <w:pPr>
        <w:spacing w:after="0" w:line="240" w:lineRule="auto"/>
      </w:pPr>
      <w:r w:rsidRPr="00E312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4F" w:rsidRPr="003213C2" w:rsidRDefault="00A07B4F">
    <w:pPr>
      <w:pStyle w:val="ae"/>
      <w:jc w:val="center"/>
      <w:rPr>
        <w:rFonts w:ascii="Times New Roman" w:hAnsi="Times New Roman"/>
        <w:sz w:val="28"/>
        <w:szCs w:val="28"/>
      </w:rPr>
    </w:pPr>
    <w:r w:rsidRPr="003213C2">
      <w:rPr>
        <w:rFonts w:ascii="Times New Roman" w:hAnsi="Times New Roman"/>
        <w:sz w:val="28"/>
        <w:szCs w:val="28"/>
      </w:rPr>
      <w:fldChar w:fldCharType="begin"/>
    </w:r>
    <w:r w:rsidRPr="003213C2">
      <w:rPr>
        <w:rFonts w:ascii="Times New Roman" w:hAnsi="Times New Roman"/>
        <w:sz w:val="28"/>
        <w:szCs w:val="28"/>
      </w:rPr>
      <w:instrText>PAGE   \* MERGEFORMAT</w:instrText>
    </w:r>
    <w:r w:rsidRPr="003213C2">
      <w:rPr>
        <w:rFonts w:ascii="Times New Roman" w:hAnsi="Times New Roman"/>
        <w:sz w:val="28"/>
        <w:szCs w:val="28"/>
      </w:rPr>
      <w:fldChar w:fldCharType="separate"/>
    </w:r>
    <w:r w:rsidR="005B5FC3">
      <w:rPr>
        <w:rFonts w:ascii="Times New Roman" w:hAnsi="Times New Roman"/>
        <w:noProof/>
        <w:sz w:val="28"/>
        <w:szCs w:val="28"/>
      </w:rPr>
      <w:t>2</w:t>
    </w:r>
    <w:r w:rsidRPr="003213C2">
      <w:rPr>
        <w:rFonts w:ascii="Times New Roman" w:hAnsi="Times New Roman"/>
        <w:sz w:val="28"/>
        <w:szCs w:val="28"/>
      </w:rPr>
      <w:fldChar w:fldCharType="end"/>
    </w:r>
  </w:p>
  <w:p w:rsidR="00A07B4F" w:rsidRPr="00E312C2" w:rsidRDefault="00A07B4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8"/>
    <w:rsid w:val="0000792A"/>
    <w:rsid w:val="00012572"/>
    <w:rsid w:val="0001724E"/>
    <w:rsid w:val="0003466E"/>
    <w:rsid w:val="000478FE"/>
    <w:rsid w:val="00065FF8"/>
    <w:rsid w:val="00090811"/>
    <w:rsid w:val="000E5683"/>
    <w:rsid w:val="001022B6"/>
    <w:rsid w:val="0013305D"/>
    <w:rsid w:val="00140BC7"/>
    <w:rsid w:val="00150AB4"/>
    <w:rsid w:val="001E1547"/>
    <w:rsid w:val="001F177C"/>
    <w:rsid w:val="001F1AC8"/>
    <w:rsid w:val="00227762"/>
    <w:rsid w:val="002363E2"/>
    <w:rsid w:val="002646D9"/>
    <w:rsid w:val="002874DE"/>
    <w:rsid w:val="0029383B"/>
    <w:rsid w:val="002B0C6F"/>
    <w:rsid w:val="002B7114"/>
    <w:rsid w:val="002E2213"/>
    <w:rsid w:val="00312C07"/>
    <w:rsid w:val="003213C2"/>
    <w:rsid w:val="00374B22"/>
    <w:rsid w:val="003C62D5"/>
    <w:rsid w:val="003C7838"/>
    <w:rsid w:val="003D7581"/>
    <w:rsid w:val="00441770"/>
    <w:rsid w:val="00452308"/>
    <w:rsid w:val="0045715A"/>
    <w:rsid w:val="00480B38"/>
    <w:rsid w:val="004B029D"/>
    <w:rsid w:val="004C799C"/>
    <w:rsid w:val="004E08B2"/>
    <w:rsid w:val="00502927"/>
    <w:rsid w:val="005313EA"/>
    <w:rsid w:val="00533BDB"/>
    <w:rsid w:val="0054584D"/>
    <w:rsid w:val="00590189"/>
    <w:rsid w:val="00594F69"/>
    <w:rsid w:val="005B5FC3"/>
    <w:rsid w:val="005B62FE"/>
    <w:rsid w:val="005C2418"/>
    <w:rsid w:val="005F69CC"/>
    <w:rsid w:val="00606F96"/>
    <w:rsid w:val="006458D6"/>
    <w:rsid w:val="00655A25"/>
    <w:rsid w:val="00682530"/>
    <w:rsid w:val="006873ED"/>
    <w:rsid w:val="00691A5D"/>
    <w:rsid w:val="00740567"/>
    <w:rsid w:val="00740E5F"/>
    <w:rsid w:val="007662E6"/>
    <w:rsid w:val="00776BFB"/>
    <w:rsid w:val="007975FC"/>
    <w:rsid w:val="007B3435"/>
    <w:rsid w:val="007E0C64"/>
    <w:rsid w:val="007F03DF"/>
    <w:rsid w:val="007F3389"/>
    <w:rsid w:val="008026CF"/>
    <w:rsid w:val="00834356"/>
    <w:rsid w:val="00835581"/>
    <w:rsid w:val="008469EA"/>
    <w:rsid w:val="00847F68"/>
    <w:rsid w:val="00865231"/>
    <w:rsid w:val="00875BB4"/>
    <w:rsid w:val="00885147"/>
    <w:rsid w:val="008A74E7"/>
    <w:rsid w:val="008B0F17"/>
    <w:rsid w:val="008C3E61"/>
    <w:rsid w:val="008E3075"/>
    <w:rsid w:val="008E3173"/>
    <w:rsid w:val="008F7337"/>
    <w:rsid w:val="00980BD5"/>
    <w:rsid w:val="00985FB8"/>
    <w:rsid w:val="009D468C"/>
    <w:rsid w:val="009D66ED"/>
    <w:rsid w:val="00A07B4F"/>
    <w:rsid w:val="00A220CF"/>
    <w:rsid w:val="00A44EBA"/>
    <w:rsid w:val="00B1553D"/>
    <w:rsid w:val="00B279F8"/>
    <w:rsid w:val="00B36C10"/>
    <w:rsid w:val="00B5327B"/>
    <w:rsid w:val="00B56081"/>
    <w:rsid w:val="00B726DE"/>
    <w:rsid w:val="00B93775"/>
    <w:rsid w:val="00B94085"/>
    <w:rsid w:val="00BB3A35"/>
    <w:rsid w:val="00BE7211"/>
    <w:rsid w:val="00BF6E92"/>
    <w:rsid w:val="00C12E7F"/>
    <w:rsid w:val="00C44F5B"/>
    <w:rsid w:val="00C474CC"/>
    <w:rsid w:val="00C67CFC"/>
    <w:rsid w:val="00CA0F38"/>
    <w:rsid w:val="00CA3DE5"/>
    <w:rsid w:val="00CE6D74"/>
    <w:rsid w:val="00D30E08"/>
    <w:rsid w:val="00D84181"/>
    <w:rsid w:val="00D929B9"/>
    <w:rsid w:val="00DB0D9B"/>
    <w:rsid w:val="00DC6FBA"/>
    <w:rsid w:val="00DF36DC"/>
    <w:rsid w:val="00E00AA0"/>
    <w:rsid w:val="00E312C2"/>
    <w:rsid w:val="00E60E70"/>
    <w:rsid w:val="00E62862"/>
    <w:rsid w:val="00EE37B4"/>
    <w:rsid w:val="00F20418"/>
    <w:rsid w:val="00F27697"/>
    <w:rsid w:val="00F40DA9"/>
    <w:rsid w:val="00F5478A"/>
    <w:rsid w:val="00F61A81"/>
    <w:rsid w:val="00F942AE"/>
    <w:rsid w:val="00FA71C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017F-7A73-45B1-A582-5A9CC15D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0E0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0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0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0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0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0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0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0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0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Шрифт абзацу за замовчув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0E0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30E0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D30E0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30E0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D30E0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D30E0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D30E0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D30E0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D30E0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D30E0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D30E0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0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D30E08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08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D30E08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D30E08"/>
    <w:pPr>
      <w:ind w:left="720"/>
      <w:contextualSpacing/>
    </w:pPr>
  </w:style>
  <w:style w:type="character" w:styleId="aa">
    <w:name w:val="Intense Emphasis"/>
    <w:uiPriority w:val="21"/>
    <w:qFormat/>
    <w:rsid w:val="00D30E08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D30E0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link w:val="ab"/>
    <w:uiPriority w:val="30"/>
    <w:rsid w:val="00D30E08"/>
    <w:rPr>
      <w:i/>
      <w:iCs/>
      <w:color w:val="0F4761"/>
    </w:rPr>
  </w:style>
  <w:style w:type="character" w:styleId="ad">
    <w:name w:val="Intense Reference"/>
    <w:uiPriority w:val="32"/>
    <w:qFormat/>
    <w:rsid w:val="00D30E08"/>
    <w:rPr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unhideWhenUsed/>
    <w:rsid w:val="00A07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07B4F"/>
  </w:style>
  <w:style w:type="paragraph" w:styleId="af0">
    <w:name w:val="footer"/>
    <w:basedOn w:val="a"/>
    <w:link w:val="af1"/>
    <w:uiPriority w:val="99"/>
    <w:unhideWhenUsed/>
    <w:rsid w:val="00A07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07B4F"/>
  </w:style>
  <w:style w:type="character" w:customStyle="1" w:styleId="spanrvts0">
    <w:name w:val="span_rvts0"/>
    <w:rsid w:val="001F177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2">
    <w:name w:val="Revision"/>
    <w:hidden/>
    <w:uiPriority w:val="99"/>
    <w:semiHidden/>
    <w:rsid w:val="00834356"/>
    <w:rPr>
      <w:kern w:val="2"/>
      <w:sz w:val="22"/>
      <w:szCs w:val="22"/>
      <w:lang w:eastAsia="en-US"/>
    </w:rPr>
  </w:style>
  <w:style w:type="character" w:styleId="af3">
    <w:name w:val="annotation reference"/>
    <w:uiPriority w:val="99"/>
    <w:semiHidden/>
    <w:unhideWhenUsed/>
    <w:rsid w:val="008E307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E3075"/>
    <w:rPr>
      <w:sz w:val="20"/>
      <w:szCs w:val="20"/>
    </w:rPr>
  </w:style>
  <w:style w:type="character" w:customStyle="1" w:styleId="af5">
    <w:name w:val="Текст примітки Знак"/>
    <w:link w:val="af4"/>
    <w:uiPriority w:val="99"/>
    <w:rsid w:val="008E3075"/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77-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Links>
    <vt:vector size="6" baseType="variant"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https://zakon.rada.gov.ua/laws/show/877-16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Трительницька Ольга Олексіївна</dc:creator>
  <cp:keywords/>
  <dc:description/>
  <cp:lastModifiedBy>Корченов Іван Олександрович</cp:lastModifiedBy>
  <cp:revision>2</cp:revision>
  <cp:lastPrinted>2025-01-24T09:59:00Z</cp:lastPrinted>
  <dcterms:created xsi:type="dcterms:W3CDTF">2025-11-10T13:22:00Z</dcterms:created>
  <dcterms:modified xsi:type="dcterms:W3CDTF">2025-11-10T13:22:00Z</dcterms:modified>
</cp:coreProperties>
</file>