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238"/>
        <w:ind w:left="10065"/>
        <w:rPr>
          <w:rStyle w:val="Strong"/>
          <w:b w:val="false"/>
          <w:bCs/>
          <w:color w:val="000000"/>
          <w:spacing w:val="5"/>
          <w:sz w:val="28"/>
          <w:szCs w:val="28"/>
        </w:rPr>
      </w:pPr>
      <w:r>
        <w:rPr>
          <w:rStyle w:val="Strong"/>
          <w:b w:val="false"/>
          <w:bCs/>
          <w:color w:val="000000"/>
          <w:spacing w:val="5"/>
          <w:sz w:val="28"/>
          <w:szCs w:val="28"/>
        </w:rPr>
        <w:t>ЗАТВЕРДЖЕНО</w:t>
      </w:r>
    </w:p>
    <w:p>
      <w:pPr>
        <w:pStyle w:val="Normal"/>
        <w:shd w:val="clear" w:color="auto" w:fill="FFFFFF"/>
        <w:spacing w:lineRule="atLeast" w:line="238"/>
        <w:ind w:left="10065"/>
        <w:rPr>
          <w:rStyle w:val="Strong"/>
          <w:b w:val="false"/>
          <w:bCs/>
          <w:color w:val="000000"/>
          <w:spacing w:val="5"/>
          <w:sz w:val="28"/>
          <w:szCs w:val="28"/>
        </w:rPr>
      </w:pPr>
      <w:r>
        <w:rPr>
          <w:rStyle w:val="Strong"/>
          <w:b w:val="false"/>
          <w:bCs/>
          <w:color w:val="000000"/>
          <w:spacing w:val="5"/>
          <w:sz w:val="28"/>
          <w:szCs w:val="28"/>
        </w:rPr>
        <w:t>Наказ Державної інспекції</w:t>
      </w:r>
    </w:p>
    <w:p>
      <w:pPr>
        <w:pStyle w:val="Normal"/>
        <w:shd w:val="clear" w:color="auto" w:fill="FFFFFF"/>
        <w:spacing w:lineRule="atLeast" w:line="238"/>
        <w:ind w:left="10065"/>
        <w:rPr>
          <w:rStyle w:val="Strong"/>
          <w:b w:val="false"/>
          <w:bCs/>
          <w:color w:val="000000"/>
          <w:spacing w:val="5"/>
          <w:sz w:val="28"/>
          <w:szCs w:val="28"/>
        </w:rPr>
      </w:pPr>
      <w:r>
        <w:rPr>
          <w:rStyle w:val="Strong"/>
          <w:b w:val="false"/>
          <w:bCs/>
          <w:color w:val="000000"/>
          <w:spacing w:val="5"/>
          <w:sz w:val="28"/>
          <w:szCs w:val="28"/>
        </w:rPr>
        <w:t>енергетичного нагляду України</w:t>
      </w:r>
    </w:p>
    <w:p>
      <w:pPr>
        <w:pStyle w:val="Normal"/>
        <w:shd w:val="clear" w:color="auto" w:fill="FFFFFF"/>
        <w:spacing w:lineRule="atLeast" w:line="238"/>
        <w:ind w:left="10065"/>
        <w:rPr>
          <w:rStyle w:val="Strong"/>
          <w:b w:val="false"/>
          <w:bCs/>
          <w:color w:val="000000"/>
          <w:spacing w:val="5"/>
          <w:sz w:val="28"/>
          <w:szCs w:val="28"/>
        </w:rPr>
      </w:pPr>
      <w:r>
        <w:rPr>
          <w:rStyle w:val="Strong"/>
          <w:b w:val="false"/>
          <w:bCs/>
          <w:color w:val="000000"/>
          <w:spacing w:val="5"/>
          <w:sz w:val="28"/>
          <w:szCs w:val="28"/>
        </w:rPr>
        <w:t>від 05 грудня 2024 року</w:t>
      </w:r>
      <w:r>
        <w:rPr>
          <w:rStyle w:val="Strong"/>
          <w:b w:val="false"/>
          <w:bCs/>
          <w:color w:val="000000"/>
          <w:spacing w:val="5"/>
          <w:sz w:val="28"/>
          <w:szCs w:val="28"/>
        </w:rPr>
        <w:t xml:space="preserve">  № </w:t>
      </w:r>
      <w:r>
        <w:rPr>
          <w:rStyle w:val="Strong"/>
          <w:b w:val="false"/>
          <w:bCs/>
          <w:color w:val="000000"/>
          <w:spacing w:val="5"/>
          <w:sz w:val="28"/>
          <w:szCs w:val="28"/>
        </w:rPr>
        <w:t>204</w:t>
      </w:r>
    </w:p>
    <w:p>
      <w:pPr>
        <w:pStyle w:val="Normal"/>
        <w:shd w:val="clear" w:color="auto" w:fill="FFFFFF"/>
        <w:spacing w:lineRule="atLeast" w:line="238"/>
        <w:jc w:val="center"/>
        <w:rPr>
          <w:rStyle w:val="Strong"/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</w:r>
    </w:p>
    <w:p>
      <w:pPr>
        <w:pStyle w:val="Normal"/>
        <w:shd w:val="clear" w:color="auto" w:fill="FFFFFF"/>
        <w:spacing w:lineRule="atLeast" w:line="238"/>
        <w:jc w:val="center"/>
        <w:rPr>
          <w:color w:val="211F1F"/>
          <w:sz w:val="28"/>
          <w:szCs w:val="28"/>
        </w:rPr>
      </w:pPr>
      <w:r>
        <w:rPr>
          <w:rStyle w:val="Strong"/>
          <w:bCs/>
          <w:color w:val="000000"/>
          <w:spacing w:val="5"/>
          <w:sz w:val="28"/>
          <w:szCs w:val="28"/>
        </w:rPr>
        <w:t xml:space="preserve">ОРІЄНТОВНИЙ ПЛАН </w:t>
      </w:r>
    </w:p>
    <w:p>
      <w:pPr>
        <w:pStyle w:val="Normal"/>
        <w:shd w:val="clear" w:color="auto" w:fill="FFFFFF"/>
        <w:spacing w:before="0" w:after="120"/>
        <w:jc w:val="center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pacing w:val="5"/>
          <w:sz w:val="28"/>
          <w:szCs w:val="28"/>
        </w:rPr>
        <w:t xml:space="preserve">проведення консультацій з громадськістю Державною інспекцією енергетичного нагляду України </w:t>
      </w:r>
      <w:r>
        <w:rPr>
          <w:rStyle w:val="Strong"/>
          <w:bCs/>
          <w:color w:val="000000"/>
          <w:sz w:val="28"/>
          <w:szCs w:val="28"/>
        </w:rPr>
        <w:t>на 2025 рік</w:t>
      </w:r>
    </w:p>
    <w:tbl>
      <w:tblPr>
        <w:tblW w:w="144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2"/>
        <w:gridCol w:w="4479"/>
        <w:gridCol w:w="2270"/>
        <w:gridCol w:w="1460"/>
        <w:gridCol w:w="2123"/>
        <w:gridCol w:w="3637"/>
      </w:tblGrid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Питання або проєкт нормативно-правового акта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Захід, що проводитиметься в рамках консультацій з громадськістю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Строк проведення консультацій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Контактні дані особи/підрозділу, відповідального за проведення консультацій (телефон, e-mail)</w:t>
            </w:r>
          </w:p>
        </w:tc>
      </w:tr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Проєкти нормативно-правових актів, які підлягають розробленню або перегляду у зв’язку із набранням чинності змін до Закону України «Про ринок природного газу» та прийняттям Кабінетом Міністрів України постанови від 03 січня 2024 року № 1 «Деякі питання оптимізації діяльності центральних органів виконавчої влади у сфері державного енергетичного нагляду (контролю) на ринку природного газу» в частині набуття Державною інспекцією енергетичного нагляду України функцій і повноважень з реалізації державної політики у сфері нагляду (контролю) на ринку природного газу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Електронні консультації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 року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Суб’єкти ринку природного газу, профільні асоціації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Михайлович В.Ф., директор Департаменту державного нагляду у галузі теплопостачання та на ринку природного газу;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(044) 204 78 50;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mykhailovychv@sies.gov.ua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</w:t>
      </w:r>
      <w:r>
        <w:rPr>
          <w:b/>
          <w:bCs/>
          <w:color w:val="000000"/>
          <w:sz w:val="28"/>
          <w:szCs w:val="28"/>
          <w:lang w:val="en-US"/>
        </w:rPr>
        <w:t xml:space="preserve">ачальник Управління </w:t>
      </w:r>
    </w:p>
    <w:p>
      <w:pPr>
        <w:pStyle w:val="NormalWeb"/>
        <w:spacing w:beforeAutospacing="0" w:before="0" w:afterAutospacing="0" w:after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аналітично-організаційної роботи, </w:t>
      </w:r>
    </w:p>
    <w:p>
      <w:pPr>
        <w:pStyle w:val="NormalWeb"/>
        <w:spacing w:beforeAutospacing="0" w:before="0" w:afterAutospacing="0" w:after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взаємодії з громадськістю та медіа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Ірина ДІДУХ</w:t>
      </w:r>
    </w:p>
    <w:p>
      <w:pPr>
        <w:pStyle w:val="Normal"/>
        <w:tabs>
          <w:tab w:val="clear" w:pos="708"/>
          <w:tab w:val="left" w:pos="11766" w:leader="none"/>
        </w:tabs>
        <w:rPr>
          <w:sz w:val="20"/>
        </w:rPr>
      </w:pPr>
      <w:r>
        <w:rPr>
          <w:b/>
          <w:bCs/>
          <w:sz w:val="28"/>
          <w:szCs w:val="28"/>
        </w:rPr>
        <w:b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701" w:right="680" w:gutter="0" w:header="709" w:top="1134" w:footer="0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ntiqua">
    <w:charset w:val="cc"/>
    <w:family w:val="roman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Indent"/>
      <w:ind w:hanging="0"/>
      <w:jc w:val="right"/>
      <w:rPr>
        <w:bCs/>
        <w:i/>
        <w:i/>
        <w:szCs w:val="28"/>
      </w:rPr>
    </w:pPr>
    <w:r>
      <w:rPr>
        <w:bCs/>
        <w:i/>
        <w:szCs w:val="28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Рам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4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rPr/>
  </w:style>
  <w:style w:type="character" w:styleId="Hyperlink">
    <w:name w:val="Hyperlink"/>
    <w:rPr>
      <w:color w:val="0000FF"/>
      <w:u w:val="single"/>
    </w:rPr>
  </w:style>
  <w:style w:type="character" w:styleId="Style14" w:customStyle="1">
    <w:name w:val="Основний текст з відступом Знак"/>
    <w:qFormat/>
    <w:rPr>
      <w:rFonts w:ascii="Times New Roman" w:hAnsi="Times New Roman"/>
      <w:sz w:val="20"/>
      <w:szCs w:val="20"/>
      <w:lang w:val="uk-UA" w:eastAsia="ru-RU"/>
    </w:rPr>
  </w:style>
  <w:style w:type="character" w:styleId="Style15" w:customStyle="1">
    <w:name w:val="Верхній колонтитул Знак"/>
    <w:qFormat/>
    <w:rPr>
      <w:rFonts w:ascii="Times New Roman" w:hAnsi="Times New Roman"/>
      <w:sz w:val="24"/>
      <w:szCs w:val="24"/>
      <w:lang w:eastAsia="ru-RU"/>
    </w:rPr>
  </w:style>
  <w:style w:type="character" w:styleId="Style16" w:customStyle="1">
    <w:name w:val="Нижній колонтитул Знак"/>
    <w:qFormat/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qFormat/>
    <w:rPr>
      <w:b/>
    </w:rPr>
  </w:style>
  <w:style w:type="character" w:styleId="longtext" w:customStyle="1">
    <w:name w:val="long_text"/>
    <w:qFormat/>
    <w:rPr/>
  </w:style>
  <w:style w:type="character" w:styleId="rvts0" w:customStyle="1">
    <w:name w:val="rvts0"/>
    <w:qFormat/>
    <w:rPr/>
  </w:style>
  <w:style w:type="character" w:styleId="PageNumber">
    <w:name w:val="page number"/>
    <w:semiHidden/>
    <w:rPr/>
  </w:style>
  <w:style w:type="character" w:styleId="Style17" w:customStyle="1">
    <w:name w:val="Основний текст Знак"/>
    <w:qFormat/>
    <w:rPr>
      <w:rFonts w:ascii="Times New Roman" w:hAnsi="Times New Roman"/>
      <w:sz w:val="24"/>
      <w:szCs w:val="24"/>
      <w:lang w:val="uk-UA" w:eastAsia="ru-RU"/>
    </w:rPr>
  </w:style>
  <w:style w:type="character" w:styleId="Style18" w:customStyle="1">
    <w:name w:val="Текст у виносці Знак"/>
    <w:link w:val="BalloonText"/>
    <w:semiHidden/>
    <w:qFormat/>
    <w:rPr>
      <w:rFonts w:ascii="Tahoma" w:hAnsi="Tahoma"/>
      <w:sz w:val="16"/>
      <w:szCs w:val="16"/>
      <w:lang w:val="uk-UA" w:eastAsia="ru-RU"/>
    </w:rPr>
  </w:style>
  <w:style w:type="character" w:styleId="Style19">
    <w:name w:val="Символи виноски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20" w:customStyle="1">
    <w:name w:val="Текст виноски Знак"/>
    <w:semiHidden/>
    <w:qFormat/>
    <w:rPr>
      <w:sz w:val="20"/>
      <w:szCs w:val="20"/>
    </w:rPr>
  </w:style>
  <w:style w:type="character" w:styleId="Style21">
    <w:name w:val="Символи кінцевої виноски"/>
    <w:semiHidden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22" w:customStyle="1">
    <w:name w:val="Текст кінцевої виноски Знак"/>
    <w:semiHidden/>
    <w:qFormat/>
    <w:rPr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f90ad8"/>
    <w:rPr>
      <w:sz w:val="16"/>
      <w:szCs w:val="16"/>
    </w:rPr>
  </w:style>
  <w:style w:type="character" w:styleId="Style23" w:customStyle="1">
    <w:name w:val="Текст примітки Знак"/>
    <w:uiPriority w:val="99"/>
    <w:semiHidden/>
    <w:qFormat/>
    <w:rsid w:val="00f90ad8"/>
    <w:rPr>
      <w:rFonts w:ascii="Times New Roman" w:hAnsi="Times New Roman"/>
      <w:szCs w:val="20"/>
      <w:lang w:val="uk-UA" w:eastAsia="ru-RU"/>
    </w:rPr>
  </w:style>
  <w:style w:type="character" w:styleId="Style24" w:customStyle="1">
    <w:name w:val="Тема примітки Знак"/>
    <w:link w:val="annotationsubject"/>
    <w:uiPriority w:val="99"/>
    <w:semiHidden/>
    <w:qFormat/>
    <w:rsid w:val="00f90ad8"/>
    <w:rPr>
      <w:rFonts w:ascii="Times New Roman" w:hAnsi="Times New Roman"/>
      <w:b/>
      <w:bCs/>
      <w:szCs w:val="20"/>
      <w:lang w:val="uk-UA"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33c69"/>
    <w:rPr>
      <w:color w:val="605E5C"/>
      <w:shd w:fill="E1DFDD" w:val="clear"/>
    </w:rPr>
  </w:style>
  <w:style w:type="paragraph" w:styleId="Style2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7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Style14"/>
    <w:pPr>
      <w:ind w:firstLine="851"/>
      <w:jc w:val="both"/>
    </w:pPr>
    <w:rPr>
      <w:sz w:val="28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uk-UA" w:bidi="ar-SA"/>
    </w:rPr>
  </w:style>
  <w:style w:type="paragraph" w:styleId="CharCharCharCharCharCharCharCharCharCharCharChar" w:customStyle="1">
    <w:name w:val="Char Char Char Char Char Char Char Char Char Char Char Char"/>
    <w:basedOn w:val="Normal"/>
    <w:qFormat/>
    <w:pPr>
      <w:spacing w:lineRule="exact" w:line="240" w:before="0" w:after="160"/>
    </w:pPr>
    <w:rPr>
      <w:sz w:val="20"/>
      <w:szCs w:val="20"/>
      <w:lang w:val="de-CH" w:eastAsia="de-CH"/>
    </w:rPr>
  </w:style>
  <w:style w:type="paragraph" w:styleId="Style27" w:customStyle="1">
    <w:name w:val="Нормальний текст"/>
    <w:basedOn w:val="Normal"/>
    <w:qFormat/>
    <w:pPr>
      <w:spacing w:before="120" w:after="0"/>
      <w:ind w:firstLine="567"/>
    </w:pPr>
    <w:rPr>
      <w:rFonts w:ascii="Antiqua" w:hAnsi="Antiqua"/>
      <w:sz w:val="26"/>
      <w:szCs w:val="26"/>
    </w:rPr>
  </w:style>
  <w:style w:type="paragraph" w:styleId="Style28" w:customStyle="1">
    <w:name w:val="Знак Знак Знак Знак"/>
    <w:basedOn w:val="Normal"/>
    <w:qFormat/>
    <w:pPr/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8"/>
    <w:semiHidden/>
    <w:qFormat/>
    <w:pPr/>
    <w:rPr>
      <w:rFonts w:ascii="Tahoma" w:hAnsi="Tahoma"/>
      <w:sz w:val="16"/>
      <w:szCs w:val="16"/>
    </w:rPr>
  </w:style>
  <w:style w:type="paragraph" w:styleId="FootnoteText">
    <w:name w:val="footnote text"/>
    <w:link w:val="Style20"/>
    <w:semiHidden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EndnoteText">
    <w:name w:val="endnote text"/>
    <w:link w:val="Style22"/>
    <w:semiHidden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CommentText">
    <w:name w:val="annotation text"/>
    <w:basedOn w:val="Normal"/>
    <w:link w:val="Style23"/>
    <w:uiPriority w:val="99"/>
    <w:semiHidden/>
    <w:unhideWhenUsed/>
    <w:rsid w:val="00f90ad8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24"/>
    <w:uiPriority w:val="99"/>
    <w:semiHidden/>
    <w:unhideWhenUsed/>
    <w:qFormat/>
    <w:rsid w:val="00f90ad8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66a4c"/>
    <w:pPr>
      <w:spacing w:beforeAutospacing="1" w:afterAutospacing="1"/>
    </w:pPr>
    <w:rPr>
      <w:lang w:val="ru-RU"/>
    </w:rPr>
  </w:style>
  <w:style w:type="paragraph" w:styleId="Style29">
    <w:name w:val="Вміст рамки"/>
    <w:basedOn w:val="Normal"/>
    <w:qFormat/>
    <w:pPr/>
    <w:rPr/>
  </w:style>
  <w:style w:type="numbering" w:styleId="Style3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b">
    <w:name w:val="Table Grid"/>
    <w:basedOn w:val="a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2A87-6036-43A7-A9B8-26AD14F7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LibreOffice/24.8.3.2$Windows_X86_64 LibreOffice_project/48a6bac9e7e268aeb4c3483fcf825c94556d9f92</Application>
  <AppVersion>15.0000</AppVersion>
  <Pages>1</Pages>
  <Words>180</Words>
  <Characters>1262</Characters>
  <CharactersWithSpaces>1531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2023-12-05T09:22:00Z</dcterms:created>
  <dc:creator>Бреус Тетяна Володимирівна</dc:creator>
  <dc:description/>
  <dc:language>uk-UA</dc:language>
  <cp:lastModifiedBy/>
  <cp:lastPrinted>2023-11-30T11:58:00Z</cp:lastPrinted>
  <dcterms:modified xsi:type="dcterms:W3CDTF">2024-12-05T15:15:21Z</dcterms:modified>
  <cp:revision>15</cp:revision>
  <dc:subject/>
  <dc:title>ЗАТВЕРДЖЕННО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